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562" w:rsidRPr="002A0184" w:rsidRDefault="008A2562" w:rsidP="008A2562">
      <w:pPr>
        <w:spacing w:line="360" w:lineRule="auto"/>
        <w:jc w:val="both"/>
        <w:rPr>
          <w:rFonts w:ascii="Palatino Linotype" w:hAnsi="Palatino Linotype" w:cs="Arial"/>
          <w:b/>
        </w:rPr>
      </w:pPr>
      <w:bookmarkStart w:id="0" w:name="_GoBack"/>
      <w:bookmarkEnd w:id="0"/>
      <w:r w:rsidRPr="002A0184">
        <w:rPr>
          <w:rFonts w:ascii="Palatino Linotype" w:hAnsi="Palatino Linotype" w:cs="Arial"/>
          <w:b/>
        </w:rPr>
        <w:t xml:space="preserve">OPINIÓN PARTICULAR DEL COMISIONADO JOSÉ GUADALUPE LUNA HERNÁNDEZ EN EL RECURSO DE REVISIÓN </w:t>
      </w:r>
      <w:r w:rsidR="002B728E">
        <w:rPr>
          <w:rFonts w:ascii="Palatino Linotype" w:hAnsi="Palatino Linotype" w:cs="Arial"/>
          <w:b/>
        </w:rPr>
        <w:t>0</w:t>
      </w:r>
      <w:r w:rsidR="00D52AEC">
        <w:rPr>
          <w:rFonts w:ascii="Palatino Linotype" w:hAnsi="Palatino Linotype" w:cs="Arial"/>
          <w:b/>
        </w:rPr>
        <w:t>1</w:t>
      </w:r>
      <w:r w:rsidR="0050773D">
        <w:rPr>
          <w:rFonts w:ascii="Palatino Linotype" w:hAnsi="Palatino Linotype" w:cs="Arial"/>
          <w:b/>
        </w:rPr>
        <w:t>977</w:t>
      </w:r>
      <w:r w:rsidRPr="002A0184">
        <w:rPr>
          <w:rFonts w:ascii="Palatino Linotype" w:hAnsi="Palatino Linotype" w:cs="Arial"/>
          <w:b/>
        </w:rPr>
        <w:t>/INFOEM/IP/RR/20</w:t>
      </w:r>
      <w:r w:rsidR="002B728E">
        <w:rPr>
          <w:rFonts w:ascii="Palatino Linotype" w:hAnsi="Palatino Linotype" w:cs="Arial"/>
          <w:b/>
        </w:rPr>
        <w:t>1</w:t>
      </w:r>
      <w:r w:rsidR="00D52AEC">
        <w:rPr>
          <w:rFonts w:ascii="Palatino Linotype" w:hAnsi="Palatino Linotype" w:cs="Arial"/>
          <w:b/>
        </w:rPr>
        <w:t>8</w:t>
      </w:r>
      <w:r w:rsidR="006118A3">
        <w:rPr>
          <w:rFonts w:ascii="Palatino Linotype" w:hAnsi="Palatino Linotype" w:cs="Arial"/>
          <w:b/>
        </w:rPr>
        <w:t>.</w:t>
      </w:r>
    </w:p>
    <w:p w:rsidR="008A2562" w:rsidRPr="002B728E" w:rsidRDefault="008A2562" w:rsidP="008A2562">
      <w:pPr>
        <w:jc w:val="both"/>
        <w:rPr>
          <w:rFonts w:ascii="Palatino Linotype" w:hAnsi="Palatino Linotype" w:cs="Arial"/>
        </w:rPr>
      </w:pPr>
    </w:p>
    <w:p w:rsidR="008A2562" w:rsidRPr="002A0184" w:rsidRDefault="008A2562" w:rsidP="008A2562">
      <w:pPr>
        <w:jc w:val="both"/>
        <w:rPr>
          <w:rFonts w:ascii="Palatino Linotype" w:hAnsi="Palatino Linotype" w:cs="Arial"/>
          <w:b/>
          <w:lang w:val="es-ES"/>
        </w:rPr>
      </w:pPr>
      <w:r w:rsidRPr="002A0184">
        <w:rPr>
          <w:rFonts w:ascii="Palatino Linotype" w:hAnsi="Palatino Linotype" w:cs="Arial"/>
          <w:b/>
          <w:lang w:val="es-ES"/>
        </w:rPr>
        <w:t>Líneas interpretativas</w:t>
      </w:r>
    </w:p>
    <w:p w:rsidR="008A2562" w:rsidRPr="002A0184" w:rsidRDefault="008A2562" w:rsidP="008A2562">
      <w:pPr>
        <w:jc w:val="both"/>
        <w:rPr>
          <w:rFonts w:ascii="Palatino Linotype" w:hAnsi="Palatino Linotype" w:cs="Arial"/>
          <w:lang w:val="es-ES"/>
        </w:rPr>
      </w:pPr>
    </w:p>
    <w:p w:rsidR="00E73597" w:rsidRPr="00072966" w:rsidRDefault="00E73597" w:rsidP="00E73597">
      <w:pPr>
        <w:spacing w:line="276" w:lineRule="auto"/>
        <w:jc w:val="both"/>
        <w:rPr>
          <w:rFonts w:ascii="Palatino Linotype" w:hAnsi="Palatino Linotype" w:cs="Arial"/>
        </w:rPr>
      </w:pPr>
      <w:r w:rsidRPr="00072966">
        <w:rPr>
          <w:rFonts w:ascii="Palatino Linotype" w:hAnsi="Palatino Linotype" w:cs="Arial"/>
        </w:rPr>
        <w:t>La falta de impugnación respecto al resto de los requerimientos que no fueron manifestados en el recurso de revisión, no debe entenderse como actos consentidos.</w:t>
      </w:r>
    </w:p>
    <w:p w:rsidR="00E73597" w:rsidRPr="00072966" w:rsidRDefault="00E73597" w:rsidP="00E73597">
      <w:pPr>
        <w:spacing w:line="276" w:lineRule="auto"/>
        <w:jc w:val="both"/>
        <w:rPr>
          <w:rFonts w:ascii="Palatino Linotype" w:hAnsi="Palatino Linotype" w:cs="Arial"/>
        </w:rPr>
      </w:pPr>
    </w:p>
    <w:p w:rsidR="00E73597" w:rsidRPr="00072966" w:rsidRDefault="00E73597" w:rsidP="00E73597">
      <w:pPr>
        <w:spacing w:line="276" w:lineRule="auto"/>
        <w:jc w:val="both"/>
        <w:rPr>
          <w:rFonts w:ascii="Palatino Linotype" w:hAnsi="Palatino Linotype" w:cs="Arial"/>
        </w:rPr>
      </w:pPr>
      <w:r w:rsidRPr="00072966">
        <w:rPr>
          <w:rFonts w:ascii="Palatino Linotype" w:hAnsi="Palatino Linotype" w:cs="Arial"/>
        </w:rPr>
        <w:t>La figura de actos consentidos no debe ser invocada en el derecho humano fundamental de acceder a la información pública gubernamental.</w:t>
      </w:r>
    </w:p>
    <w:p w:rsidR="00E73597" w:rsidRPr="00072966" w:rsidRDefault="00E73597" w:rsidP="00E73597">
      <w:pPr>
        <w:spacing w:line="276" w:lineRule="auto"/>
        <w:jc w:val="both"/>
        <w:rPr>
          <w:rFonts w:ascii="Palatino Linotype" w:hAnsi="Palatino Linotype" w:cs="Arial"/>
        </w:rPr>
      </w:pPr>
    </w:p>
    <w:p w:rsidR="00E73597" w:rsidRPr="00072966" w:rsidRDefault="00E73597" w:rsidP="00E73597">
      <w:pPr>
        <w:spacing w:line="276" w:lineRule="auto"/>
        <w:jc w:val="both"/>
        <w:rPr>
          <w:rFonts w:ascii="Palatino Linotype" w:hAnsi="Palatino Linotype" w:cs="Arial"/>
        </w:rPr>
      </w:pPr>
      <w:r w:rsidRPr="00072966">
        <w:rPr>
          <w:rFonts w:ascii="Palatino Linotype" w:hAnsi="Palatino Linotype" w:cs="Arial"/>
        </w:rPr>
        <w:t>El Órgano Garante del derecho de acceso a la información pública no debe imponerles las cargas formales del proceso jurisdiccional a los particulares.</w:t>
      </w:r>
    </w:p>
    <w:p w:rsidR="00E73597" w:rsidRPr="00072966" w:rsidRDefault="00E73597" w:rsidP="00E73597">
      <w:pPr>
        <w:spacing w:line="276" w:lineRule="auto"/>
        <w:jc w:val="both"/>
        <w:rPr>
          <w:rFonts w:ascii="Palatino Linotype" w:hAnsi="Palatino Linotype" w:cs="Arial"/>
        </w:rPr>
      </w:pPr>
    </w:p>
    <w:p w:rsidR="00892EB0" w:rsidRPr="00800DB9" w:rsidRDefault="00E73597" w:rsidP="00800DB9">
      <w:pPr>
        <w:spacing w:line="276" w:lineRule="auto"/>
        <w:jc w:val="both"/>
        <w:rPr>
          <w:rFonts w:ascii="Palatino Linotype" w:hAnsi="Palatino Linotype" w:cs="Arial"/>
        </w:rPr>
      </w:pPr>
      <w:r w:rsidRPr="00072966">
        <w:rPr>
          <w:rFonts w:ascii="Palatino Linotype" w:hAnsi="Palatino Linotype" w:cs="Arial"/>
        </w:rPr>
        <w:t>Lo que este Órgano Garante realice en materia de suplencia de la queja no afecta la igualdad de las partes sino procura el cumplimiento de los deberes de protección del derecho humano.</w:t>
      </w:r>
      <w:r>
        <w:rPr>
          <w:rFonts w:ascii="Palatino Linotype" w:hAnsi="Palatino Linotype" w:cs="Arial"/>
        </w:rPr>
        <w:t xml:space="preserve">; además </w:t>
      </w:r>
      <w:r w:rsidRPr="00072966">
        <w:rPr>
          <w:rFonts w:ascii="Palatino Linotype" w:hAnsi="Palatino Linotype" w:cs="Arial"/>
        </w:rPr>
        <w:t>tienen el deber que tienen dentro del margen de sus atribuciones, de prevenir violaciones a los derechos fundamentales.</w:t>
      </w:r>
    </w:p>
    <w:p w:rsidR="00892EB0" w:rsidRDefault="00892EB0" w:rsidP="00892EB0">
      <w:pPr>
        <w:pStyle w:val="TtulodeTDC"/>
        <w:spacing w:line="360" w:lineRule="auto"/>
        <w:rPr>
          <w:rFonts w:cs="Arial"/>
          <w:color w:val="auto"/>
          <w:szCs w:val="24"/>
        </w:rPr>
      </w:pPr>
      <w:r w:rsidRPr="00835C8D">
        <w:rPr>
          <w:rFonts w:cs="Arial"/>
          <w:color w:val="auto"/>
          <w:szCs w:val="24"/>
        </w:rPr>
        <w:t>Índice</w:t>
      </w:r>
      <w:r>
        <w:rPr>
          <w:rFonts w:cs="Arial"/>
          <w:color w:val="auto"/>
          <w:szCs w:val="24"/>
        </w:rPr>
        <w:t>.</w:t>
      </w:r>
    </w:p>
    <w:p w:rsidR="00892EB0" w:rsidRPr="00892EB0" w:rsidRDefault="00892EB0" w:rsidP="00892EB0">
      <w:pPr>
        <w:rPr>
          <w:lang w:eastAsia="es-MX"/>
        </w:rPr>
      </w:pPr>
    </w:p>
    <w:sdt>
      <w:sdtPr>
        <w:rPr>
          <w:b/>
          <w:lang w:val="es-ES"/>
        </w:rPr>
        <w:id w:val="-1628690016"/>
        <w:docPartObj>
          <w:docPartGallery w:val="Table of Contents"/>
          <w:docPartUnique/>
        </w:docPartObj>
      </w:sdtPr>
      <w:sdtEndPr>
        <w:rPr>
          <w:rFonts w:ascii="Palatino Linotype" w:hAnsi="Palatino Linotype"/>
          <w:b w:val="0"/>
          <w:bCs/>
        </w:rPr>
      </w:sdtEndPr>
      <w:sdtContent>
        <w:p w:rsidR="00892EB0" w:rsidRDefault="00892EB0" w:rsidP="00892EB0">
          <w:pPr>
            <w:pStyle w:val="TDC1"/>
            <w:rPr>
              <w:rFonts w:eastAsiaTheme="minorEastAsia"/>
              <w:noProof/>
              <w:sz w:val="22"/>
              <w:szCs w:val="22"/>
              <w:lang w:val="es-MX" w:eastAsia="es-MX"/>
            </w:rPr>
          </w:pPr>
          <w:r w:rsidRPr="009F7B67">
            <w:rPr>
              <w:noProof/>
              <w:lang w:val="es-MX"/>
            </w:rPr>
            <w:fldChar w:fldCharType="begin"/>
          </w:r>
          <w:r w:rsidRPr="009F7B67">
            <w:instrText xml:space="preserve"> TOC \o "1-3" \h \z \u </w:instrText>
          </w:r>
          <w:r w:rsidRPr="009F7B67">
            <w:rPr>
              <w:noProof/>
              <w:lang w:val="es-MX"/>
            </w:rPr>
            <w:fldChar w:fldCharType="separate"/>
          </w:r>
          <w:hyperlink w:anchor="_Toc521317138" w:history="1">
            <w:r w:rsidRPr="00297012">
              <w:rPr>
                <w:rStyle w:val="Hipervnculo"/>
                <w:rFonts w:ascii="Palatino Linotype" w:hAnsi="Palatino Linotype"/>
                <w:b/>
                <w:noProof/>
              </w:rPr>
              <w:t>I.</w:t>
            </w:r>
            <w:r>
              <w:rPr>
                <w:rFonts w:eastAsiaTheme="minorEastAsia"/>
                <w:noProof/>
                <w:sz w:val="22"/>
                <w:szCs w:val="22"/>
                <w:lang w:val="es-MX" w:eastAsia="es-MX"/>
              </w:rPr>
              <w:tab/>
            </w:r>
            <w:r w:rsidRPr="00297012">
              <w:rPr>
                <w:rStyle w:val="Hipervnculo"/>
                <w:rFonts w:ascii="Palatino Linotype" w:hAnsi="Palatino Linotype"/>
                <w:b/>
                <w:noProof/>
              </w:rPr>
              <w:t>Consideraciones Generales.</w:t>
            </w:r>
            <w:r>
              <w:rPr>
                <w:noProof/>
                <w:webHidden/>
              </w:rPr>
              <w:tab/>
            </w:r>
            <w:r>
              <w:rPr>
                <w:noProof/>
                <w:webHidden/>
              </w:rPr>
              <w:fldChar w:fldCharType="begin"/>
            </w:r>
            <w:r>
              <w:rPr>
                <w:noProof/>
                <w:webHidden/>
              </w:rPr>
              <w:instrText xml:space="preserve"> PAGEREF _Toc521317138 \h </w:instrText>
            </w:r>
            <w:r>
              <w:rPr>
                <w:noProof/>
                <w:webHidden/>
              </w:rPr>
            </w:r>
            <w:r>
              <w:rPr>
                <w:noProof/>
                <w:webHidden/>
              </w:rPr>
              <w:fldChar w:fldCharType="separate"/>
            </w:r>
            <w:r w:rsidR="00470DB9">
              <w:rPr>
                <w:noProof/>
                <w:webHidden/>
              </w:rPr>
              <w:t>2</w:t>
            </w:r>
            <w:r>
              <w:rPr>
                <w:noProof/>
                <w:webHidden/>
              </w:rPr>
              <w:fldChar w:fldCharType="end"/>
            </w:r>
          </w:hyperlink>
        </w:p>
        <w:p w:rsidR="00892EB0" w:rsidRDefault="003E46D9" w:rsidP="00892EB0">
          <w:pPr>
            <w:pStyle w:val="TDC1"/>
            <w:rPr>
              <w:rFonts w:eastAsiaTheme="minorEastAsia"/>
              <w:noProof/>
              <w:sz w:val="22"/>
              <w:szCs w:val="22"/>
              <w:lang w:val="es-MX" w:eastAsia="es-MX"/>
            </w:rPr>
          </w:pPr>
          <w:hyperlink w:anchor="_Toc521317139" w:history="1">
            <w:r w:rsidR="00892EB0" w:rsidRPr="00297012">
              <w:rPr>
                <w:rStyle w:val="Hipervnculo"/>
                <w:rFonts w:ascii="Palatino Linotype" w:hAnsi="Palatino Linotype"/>
                <w:b/>
                <w:noProof/>
              </w:rPr>
              <w:t>II. De los Comités de Transparencia</w:t>
            </w:r>
            <w:r w:rsidR="00892EB0">
              <w:rPr>
                <w:noProof/>
                <w:webHidden/>
              </w:rPr>
              <w:tab/>
            </w:r>
            <w:r w:rsidR="00892EB0">
              <w:rPr>
                <w:noProof/>
                <w:webHidden/>
              </w:rPr>
              <w:fldChar w:fldCharType="begin"/>
            </w:r>
            <w:r w:rsidR="00892EB0">
              <w:rPr>
                <w:noProof/>
                <w:webHidden/>
              </w:rPr>
              <w:instrText xml:space="preserve"> PAGEREF _Toc521317139 \h </w:instrText>
            </w:r>
            <w:r w:rsidR="00892EB0">
              <w:rPr>
                <w:noProof/>
                <w:webHidden/>
              </w:rPr>
            </w:r>
            <w:r w:rsidR="00892EB0">
              <w:rPr>
                <w:noProof/>
                <w:webHidden/>
              </w:rPr>
              <w:fldChar w:fldCharType="separate"/>
            </w:r>
            <w:r w:rsidR="00470DB9">
              <w:rPr>
                <w:noProof/>
                <w:webHidden/>
              </w:rPr>
              <w:t>3</w:t>
            </w:r>
            <w:r w:rsidR="00892EB0">
              <w:rPr>
                <w:noProof/>
                <w:webHidden/>
              </w:rPr>
              <w:fldChar w:fldCharType="end"/>
            </w:r>
          </w:hyperlink>
        </w:p>
        <w:p w:rsidR="00892EB0" w:rsidRDefault="003E46D9" w:rsidP="00892EB0">
          <w:pPr>
            <w:pStyle w:val="TDC1"/>
            <w:rPr>
              <w:rFonts w:eastAsiaTheme="minorEastAsia"/>
              <w:noProof/>
              <w:sz w:val="22"/>
              <w:szCs w:val="22"/>
              <w:lang w:val="es-MX" w:eastAsia="es-MX"/>
            </w:rPr>
          </w:pPr>
          <w:hyperlink w:anchor="_Toc521317140" w:history="1">
            <w:r w:rsidR="00892EB0" w:rsidRPr="00297012">
              <w:rPr>
                <w:rStyle w:val="Hipervnculo"/>
                <w:rFonts w:ascii="Palatino Linotype" w:hAnsi="Palatino Linotype"/>
                <w:b/>
                <w:noProof/>
              </w:rPr>
              <w:t>III. Los actos consentidos no deben invocarse en el derecho fundamental de acceder a la información pública gubernamental.</w:t>
            </w:r>
            <w:r w:rsidR="00892EB0">
              <w:rPr>
                <w:noProof/>
                <w:webHidden/>
              </w:rPr>
              <w:tab/>
            </w:r>
            <w:r w:rsidR="00892EB0">
              <w:rPr>
                <w:noProof/>
                <w:webHidden/>
              </w:rPr>
              <w:fldChar w:fldCharType="begin"/>
            </w:r>
            <w:r w:rsidR="00892EB0">
              <w:rPr>
                <w:noProof/>
                <w:webHidden/>
              </w:rPr>
              <w:instrText xml:space="preserve"> PAGEREF _Toc521317140 \h </w:instrText>
            </w:r>
            <w:r w:rsidR="00892EB0">
              <w:rPr>
                <w:noProof/>
                <w:webHidden/>
              </w:rPr>
            </w:r>
            <w:r w:rsidR="00892EB0">
              <w:rPr>
                <w:noProof/>
                <w:webHidden/>
              </w:rPr>
              <w:fldChar w:fldCharType="separate"/>
            </w:r>
            <w:r w:rsidR="00470DB9">
              <w:rPr>
                <w:noProof/>
                <w:webHidden/>
              </w:rPr>
              <w:t>6</w:t>
            </w:r>
            <w:r w:rsidR="00892EB0">
              <w:rPr>
                <w:noProof/>
                <w:webHidden/>
              </w:rPr>
              <w:fldChar w:fldCharType="end"/>
            </w:r>
          </w:hyperlink>
        </w:p>
        <w:p w:rsidR="00892EB0" w:rsidRPr="00800DB9" w:rsidRDefault="00892EB0" w:rsidP="00800DB9">
          <w:pPr>
            <w:spacing w:line="360" w:lineRule="auto"/>
            <w:rPr>
              <w:rFonts w:ascii="Palatino Linotype" w:hAnsi="Palatino Linotype"/>
              <w:b/>
              <w:bCs/>
              <w:lang w:val="es-ES"/>
            </w:rPr>
          </w:pPr>
          <w:r w:rsidRPr="009F7B67">
            <w:rPr>
              <w:rFonts w:ascii="Palatino Linotype" w:hAnsi="Palatino Linotype"/>
              <w:b/>
              <w:bCs/>
              <w:lang w:val="es-ES"/>
            </w:rPr>
            <w:fldChar w:fldCharType="end"/>
          </w:r>
        </w:p>
      </w:sdtContent>
    </w:sdt>
    <w:p w:rsidR="006C5B73" w:rsidRPr="00072966" w:rsidRDefault="006C5B73" w:rsidP="006C5B73">
      <w:pPr>
        <w:pStyle w:val="Ttulo1"/>
        <w:numPr>
          <w:ilvl w:val="0"/>
          <w:numId w:val="24"/>
        </w:numPr>
        <w:spacing w:line="360" w:lineRule="auto"/>
        <w:rPr>
          <w:rFonts w:ascii="Palatino Linotype" w:hAnsi="Palatino Linotype"/>
          <w:b/>
          <w:color w:val="auto"/>
          <w:sz w:val="24"/>
          <w:szCs w:val="24"/>
        </w:rPr>
      </w:pPr>
      <w:bookmarkStart w:id="1" w:name="_Toc518566986"/>
      <w:bookmarkStart w:id="2" w:name="_Toc521317138"/>
      <w:r w:rsidRPr="00072966">
        <w:rPr>
          <w:rFonts w:ascii="Palatino Linotype" w:hAnsi="Palatino Linotype"/>
          <w:b/>
          <w:color w:val="auto"/>
          <w:sz w:val="24"/>
          <w:szCs w:val="24"/>
        </w:rPr>
        <w:t>Consideraciones Generales.</w:t>
      </w:r>
      <w:bookmarkEnd w:id="1"/>
      <w:bookmarkEnd w:id="2"/>
    </w:p>
    <w:p w:rsidR="000474D8" w:rsidRPr="00E73597" w:rsidRDefault="00363C74" w:rsidP="0050773D">
      <w:pPr>
        <w:pStyle w:val="Prrafodelista"/>
        <w:numPr>
          <w:ilvl w:val="0"/>
          <w:numId w:val="1"/>
        </w:numPr>
        <w:spacing w:before="240" w:line="360" w:lineRule="auto"/>
        <w:ind w:right="49"/>
        <w:jc w:val="both"/>
        <w:rPr>
          <w:rFonts w:ascii="Palatino Linotype" w:hAnsi="Palatino Linotype" w:cs="Arial"/>
        </w:rPr>
      </w:pPr>
      <w:r w:rsidRPr="00072966">
        <w:rPr>
          <w:rFonts w:ascii="Palatino Linotype" w:eastAsia="Times New Roman" w:hAnsi="Palatino Linotype" w:cs="Arial"/>
        </w:rPr>
        <w:t xml:space="preserve">He </w:t>
      </w:r>
      <w:r w:rsidRPr="00363C74">
        <w:rPr>
          <w:rFonts w:ascii="Palatino Linotype" w:hAnsi="Palatino Linotype" w:cs="Arial"/>
        </w:rPr>
        <w:t>concurrido</w:t>
      </w:r>
      <w:r w:rsidRPr="00072966">
        <w:rPr>
          <w:rFonts w:ascii="Palatino Linotype" w:eastAsia="Times New Roman" w:hAnsi="Palatino Linotype" w:cs="Arial"/>
        </w:rPr>
        <w:t xml:space="preserve"> con </w:t>
      </w:r>
      <w:r w:rsidRPr="00D52AEC">
        <w:rPr>
          <w:rFonts w:ascii="Palatino Linotype" w:eastAsia="Times New Roman" w:hAnsi="Palatino Linotype" w:cs="Arial"/>
        </w:rPr>
        <w:t xml:space="preserve">mi opinión particular </w:t>
      </w:r>
      <w:r w:rsidRPr="00072966">
        <w:rPr>
          <w:rFonts w:ascii="Palatino Linotype" w:eastAsia="Times New Roman" w:hAnsi="Palatino Linotype" w:cs="Arial"/>
        </w:rPr>
        <w:t xml:space="preserve">de la presente resolución emitida </w:t>
      </w:r>
      <w:r w:rsidRPr="00072966">
        <w:rPr>
          <w:rFonts w:ascii="Palatino Linotype" w:hAnsi="Palatino Linotype" w:cs="Arial"/>
        </w:rPr>
        <w:t xml:space="preserve">por el Pleno del Instituto de Transparencia, Acceso a la Información Pública y Protección de Datos Personales del Estado de México y Municipios, en su </w:t>
      </w:r>
      <w:r>
        <w:rPr>
          <w:rFonts w:ascii="Palatino Linotype" w:hAnsi="Palatino Linotype" w:cs="Arial"/>
        </w:rPr>
        <w:t xml:space="preserve">Vigésimo </w:t>
      </w:r>
      <w:r w:rsidR="0050773D">
        <w:rPr>
          <w:rFonts w:ascii="Palatino Linotype" w:hAnsi="Palatino Linotype" w:cs="Arial"/>
        </w:rPr>
        <w:t>Séptima</w:t>
      </w:r>
      <w:r w:rsidRPr="00072966">
        <w:rPr>
          <w:rFonts w:ascii="Palatino Linotype" w:hAnsi="Palatino Linotype" w:cs="Arial"/>
        </w:rPr>
        <w:t xml:space="preserve"> sesión ordinaria de fecha </w:t>
      </w:r>
      <w:r w:rsidR="0050773D">
        <w:rPr>
          <w:rFonts w:ascii="Palatino Linotype" w:hAnsi="Palatino Linotype" w:cs="Arial"/>
        </w:rPr>
        <w:t>uno (01) de agosto</w:t>
      </w:r>
      <w:r w:rsidRPr="005A15E9">
        <w:rPr>
          <w:rFonts w:ascii="Palatino Linotype" w:hAnsi="Palatino Linotype" w:cs="Arial"/>
        </w:rPr>
        <w:t xml:space="preserve"> de dos mil dieciocho, en el recurso de revisión promovido por</w:t>
      </w:r>
      <w:r w:rsidRPr="005A15E9">
        <w:rPr>
          <w:rFonts w:ascii="Palatino Linotype" w:hAnsi="Palatino Linotype" w:cs="Arial"/>
          <w:b/>
        </w:rPr>
        <w:t xml:space="preserve"> </w:t>
      </w:r>
      <w:r w:rsidR="00EA3C9F">
        <w:rPr>
          <w:rFonts w:ascii="Palatino Linotype" w:hAnsi="Palatino Linotype" w:cs="Arial"/>
          <w:b/>
        </w:rPr>
        <w:t>**************************</w:t>
      </w:r>
      <w:r w:rsidRPr="00D52AEC">
        <w:rPr>
          <w:rFonts w:ascii="Palatino Linotype" w:hAnsi="Palatino Linotype" w:cs="Arial"/>
        </w:rPr>
        <w:t xml:space="preserve">, </w:t>
      </w:r>
      <w:r w:rsidRPr="00FA0F51">
        <w:rPr>
          <w:rFonts w:ascii="Palatino Linotype" w:hAnsi="Palatino Linotype" w:cs="Arial"/>
        </w:rPr>
        <w:t xml:space="preserve">en contra de la respuesta emitida por </w:t>
      </w:r>
      <w:r>
        <w:rPr>
          <w:rFonts w:ascii="Palatino Linotype" w:hAnsi="Palatino Linotype" w:cs="Arial"/>
        </w:rPr>
        <w:t xml:space="preserve">el </w:t>
      </w:r>
      <w:r w:rsidR="0050773D" w:rsidRPr="0050773D">
        <w:rPr>
          <w:rFonts w:ascii="Palatino Linotype" w:hAnsi="Palatino Linotype" w:cs="Arial"/>
          <w:b/>
        </w:rPr>
        <w:t>Universidad Autónoma del Estado de México</w:t>
      </w:r>
      <w:r>
        <w:rPr>
          <w:rFonts w:ascii="Palatino Linotype" w:hAnsi="Palatino Linotype" w:cs="Arial"/>
          <w:b/>
        </w:rPr>
        <w:t xml:space="preserve"> </w:t>
      </w:r>
      <w:r w:rsidRPr="00363C74">
        <w:rPr>
          <w:rFonts w:ascii="Palatino Linotype" w:hAnsi="Palatino Linotype" w:cs="Arial"/>
        </w:rPr>
        <w:t xml:space="preserve">procedimiento al que se le asignó el número de expediente </w:t>
      </w:r>
      <w:r w:rsidRPr="00363C74">
        <w:rPr>
          <w:rFonts w:ascii="Palatino Linotype" w:eastAsia="Times New Roman" w:hAnsi="Palatino Linotype" w:cs="Arial"/>
          <w:b/>
          <w:bCs/>
          <w:lang w:eastAsia="es-ES"/>
        </w:rPr>
        <w:t>01</w:t>
      </w:r>
      <w:r w:rsidR="00E12C67">
        <w:rPr>
          <w:rFonts w:ascii="Palatino Linotype" w:eastAsia="Times New Roman" w:hAnsi="Palatino Linotype" w:cs="Arial"/>
          <w:b/>
          <w:bCs/>
          <w:lang w:eastAsia="es-ES"/>
        </w:rPr>
        <w:t>977</w:t>
      </w:r>
      <w:r w:rsidRPr="00363C74">
        <w:rPr>
          <w:rFonts w:ascii="Palatino Linotype" w:eastAsia="Times New Roman" w:hAnsi="Palatino Linotype" w:cs="Arial"/>
          <w:b/>
          <w:bCs/>
          <w:lang w:eastAsia="es-ES"/>
        </w:rPr>
        <w:t>/INFOEM/IP/RR/2018.</w:t>
      </w:r>
    </w:p>
    <w:p w:rsidR="00E73597" w:rsidRPr="000474D8" w:rsidRDefault="00E73597" w:rsidP="00E73597">
      <w:pPr>
        <w:pStyle w:val="Prrafodelista"/>
        <w:spacing w:before="240" w:line="360" w:lineRule="auto"/>
        <w:ind w:left="360" w:right="49"/>
        <w:jc w:val="both"/>
        <w:rPr>
          <w:rFonts w:ascii="Palatino Linotype" w:hAnsi="Palatino Linotype" w:cs="Arial"/>
        </w:rPr>
      </w:pPr>
    </w:p>
    <w:p w:rsidR="000474D8" w:rsidRPr="000474D8" w:rsidRDefault="000474D8" w:rsidP="000474D8">
      <w:pPr>
        <w:pStyle w:val="Prrafodelista"/>
        <w:numPr>
          <w:ilvl w:val="0"/>
          <w:numId w:val="1"/>
        </w:numPr>
        <w:spacing w:before="240" w:line="360" w:lineRule="auto"/>
        <w:ind w:right="49"/>
        <w:jc w:val="both"/>
        <w:rPr>
          <w:rFonts w:ascii="Palatino Linotype" w:hAnsi="Palatino Linotype" w:cs="Arial"/>
        </w:rPr>
      </w:pPr>
      <w:r w:rsidRPr="000474D8">
        <w:rPr>
          <w:rFonts w:ascii="Palatino Linotype" w:hAnsi="Palatino Linotype" w:cs="Arial"/>
        </w:rPr>
        <w:t>Por tal motivo y en términos de lo señalado por los artículos 20 fracción III y 39 fracción X del Reglamento Interior del Instituto de Transparencia y Acceso a la Información Pública del Estad</w:t>
      </w:r>
      <w:r w:rsidR="0060381D">
        <w:rPr>
          <w:rFonts w:ascii="Palatino Linotype" w:hAnsi="Palatino Linotype" w:cs="Arial"/>
        </w:rPr>
        <w:t>o de México y Municipios formulo</w:t>
      </w:r>
      <w:r w:rsidRPr="000474D8">
        <w:rPr>
          <w:rFonts w:ascii="Palatino Linotype" w:hAnsi="Palatino Linotype" w:cs="Arial"/>
        </w:rPr>
        <w:t xml:space="preserve"> la presente opinión particular.</w:t>
      </w:r>
    </w:p>
    <w:p w:rsidR="006C5B73" w:rsidRPr="00072966" w:rsidRDefault="006C5B73" w:rsidP="00363C74">
      <w:pPr>
        <w:pStyle w:val="Prrafodelista"/>
        <w:spacing w:line="360" w:lineRule="auto"/>
        <w:ind w:left="426"/>
        <w:jc w:val="both"/>
        <w:rPr>
          <w:rFonts w:ascii="Palatino Linotype" w:hAnsi="Palatino Linotype" w:cs="Arial"/>
        </w:rPr>
      </w:pPr>
    </w:p>
    <w:p w:rsidR="00E12C67" w:rsidRDefault="00E12C67" w:rsidP="00E12C67">
      <w:pPr>
        <w:pStyle w:val="Prrafodelista"/>
        <w:numPr>
          <w:ilvl w:val="0"/>
          <w:numId w:val="1"/>
        </w:numPr>
        <w:spacing w:before="240" w:line="360" w:lineRule="auto"/>
        <w:ind w:right="49"/>
        <w:jc w:val="both"/>
        <w:rPr>
          <w:rFonts w:ascii="Palatino Linotype" w:hAnsi="Palatino Linotype" w:cs="Arial"/>
        </w:rPr>
      </w:pPr>
      <w:r w:rsidRPr="00DD7C56">
        <w:rPr>
          <w:rFonts w:ascii="Palatino Linotype" w:hAnsi="Palatino Linotype" w:cs="Arial"/>
        </w:rPr>
        <w:lastRenderedPageBreak/>
        <w:t xml:space="preserve">El sentido de la Resolución puntualmente determina </w:t>
      </w:r>
      <w:r>
        <w:rPr>
          <w:rFonts w:ascii="Palatino Linotype" w:hAnsi="Palatino Linotype" w:cs="Arial"/>
          <w:u w:val="single"/>
        </w:rPr>
        <w:t>revocar</w:t>
      </w:r>
      <w:r w:rsidRPr="00DD7C56">
        <w:rPr>
          <w:rFonts w:ascii="Palatino Linotype" w:hAnsi="Palatino Linotype" w:cs="Arial"/>
        </w:rPr>
        <w:t xml:space="preserve"> la</w:t>
      </w:r>
      <w:r>
        <w:rPr>
          <w:rFonts w:ascii="Palatino Linotype" w:hAnsi="Palatino Linotype" w:cs="Arial"/>
        </w:rPr>
        <w:t>s</w:t>
      </w:r>
      <w:r w:rsidRPr="00DD7C56">
        <w:rPr>
          <w:rFonts w:ascii="Palatino Linotype" w:hAnsi="Palatino Linotype" w:cs="Arial"/>
        </w:rPr>
        <w:t xml:space="preserve"> respuesta</w:t>
      </w:r>
      <w:r>
        <w:rPr>
          <w:rFonts w:ascii="Palatino Linotype" w:hAnsi="Palatino Linotype" w:cs="Arial"/>
        </w:rPr>
        <w:t>s</w:t>
      </w:r>
      <w:r w:rsidRPr="00DD7C56">
        <w:rPr>
          <w:rFonts w:ascii="Palatino Linotype" w:hAnsi="Palatino Linotype" w:cs="Arial"/>
        </w:rPr>
        <w:t xml:space="preserve"> del Sujeto Obligado y </w:t>
      </w:r>
      <w:r w:rsidRPr="001923C0">
        <w:rPr>
          <w:rFonts w:ascii="Palatino Linotype" w:hAnsi="Palatino Linotype" w:cs="Arial"/>
          <w:u w:val="single"/>
        </w:rPr>
        <w:t>ordenar</w:t>
      </w:r>
      <w:r w:rsidRPr="00DD7C56">
        <w:rPr>
          <w:rFonts w:ascii="Palatino Linotype" w:hAnsi="Palatino Linotype" w:cs="Arial"/>
        </w:rPr>
        <w:t xml:space="preserve"> </w:t>
      </w:r>
      <w:r>
        <w:rPr>
          <w:rFonts w:ascii="Palatino Linotype" w:hAnsi="Palatino Linotype" w:cs="Arial"/>
        </w:rPr>
        <w:t>lo siguiente:</w:t>
      </w:r>
    </w:p>
    <w:p w:rsidR="00E12C67" w:rsidRPr="00E12C67" w:rsidRDefault="00E12C67" w:rsidP="00E12C67">
      <w:pPr>
        <w:tabs>
          <w:tab w:val="left" w:pos="8080"/>
        </w:tabs>
        <w:spacing w:before="240" w:line="360" w:lineRule="auto"/>
        <w:ind w:left="1276" w:right="567"/>
        <w:jc w:val="both"/>
        <w:rPr>
          <w:rFonts w:ascii="Palatino Linotype" w:hAnsi="Palatino Linotype" w:cs="Arial"/>
          <w:i/>
        </w:rPr>
      </w:pPr>
      <w:r w:rsidRPr="000568DD">
        <w:rPr>
          <w:rFonts w:ascii="Palatino Linotype" w:hAnsi="Palatino Linotype" w:cs="Arial"/>
          <w:i/>
        </w:rPr>
        <w:t>“</w:t>
      </w:r>
      <w:r w:rsidRPr="00E12C67">
        <w:rPr>
          <w:rFonts w:ascii="Palatino Linotype" w:hAnsi="Palatino Linotype" w:cs="Arial"/>
          <w:i/>
        </w:rPr>
        <w:t>Las propuestas de las plantillas de materias presentadas por los Coordinadores de Licenciaturas a la Subdirectora Académica para el ciclo 2018-B.</w:t>
      </w:r>
    </w:p>
    <w:p w:rsidR="00E12C67" w:rsidRPr="00616B05" w:rsidRDefault="00E12C67" w:rsidP="00E12C67">
      <w:pPr>
        <w:tabs>
          <w:tab w:val="left" w:pos="8080"/>
        </w:tabs>
        <w:spacing w:before="240" w:line="360" w:lineRule="auto"/>
        <w:ind w:left="1276" w:right="567"/>
        <w:jc w:val="both"/>
        <w:rPr>
          <w:rFonts w:ascii="Palatino Linotype" w:hAnsi="Palatino Linotype" w:cs="Arial"/>
        </w:rPr>
      </w:pPr>
      <w:r w:rsidRPr="00E12C67">
        <w:rPr>
          <w:rFonts w:ascii="Palatino Linotype" w:hAnsi="Palatino Linotype" w:cs="Arial"/>
          <w:i/>
        </w:rPr>
        <w:t>Para el caso de que se continúe con el proceso de generación de plantillas en las cuales se asigna el profesor, el horario y la unidad de aprendizaje, EL SUJETO OBLIGADO deberá entregar el Acuerdo de Clasificación de la información como reservada, debidamente fundado y motivado, conforme a los artículos 49, fracción VIII, 129, 140 y 141 de la Ley de Transparencia y Acceso a la Información Pública del Estado de México y Municipios.”</w:t>
      </w:r>
      <w:r w:rsidRPr="000568DD">
        <w:rPr>
          <w:rFonts w:ascii="Palatino Linotype" w:hAnsi="Palatino Linotype" w:cs="Arial"/>
          <w:i/>
        </w:rPr>
        <w:t>.”</w:t>
      </w:r>
    </w:p>
    <w:p w:rsidR="00E12C67" w:rsidRPr="000474D8" w:rsidRDefault="00E12C67" w:rsidP="000474D8">
      <w:pPr>
        <w:pStyle w:val="Prrafodelista"/>
        <w:rPr>
          <w:rFonts w:ascii="Palatino Linotype" w:hAnsi="Palatino Linotype" w:cs="Arial"/>
        </w:rPr>
      </w:pPr>
    </w:p>
    <w:p w:rsidR="00E12C67" w:rsidRDefault="00A0454A" w:rsidP="00E12C67">
      <w:pPr>
        <w:pStyle w:val="Prrafodelista"/>
        <w:numPr>
          <w:ilvl w:val="0"/>
          <w:numId w:val="1"/>
        </w:numPr>
        <w:spacing w:before="240" w:line="360" w:lineRule="auto"/>
        <w:ind w:right="49"/>
        <w:jc w:val="both"/>
        <w:rPr>
          <w:rFonts w:ascii="Palatino Linotype" w:hAnsi="Palatino Linotype" w:cs="Arial"/>
        </w:rPr>
      </w:pPr>
      <w:r w:rsidRPr="000474D8">
        <w:rPr>
          <w:rFonts w:ascii="Palatino Linotype" w:hAnsi="Palatino Linotype" w:cs="Arial"/>
        </w:rPr>
        <w:t>Sin embargo, m</w:t>
      </w:r>
      <w:r w:rsidR="008A2562" w:rsidRPr="000474D8">
        <w:rPr>
          <w:rFonts w:ascii="Palatino Linotype" w:hAnsi="Palatino Linotype" w:cs="Arial"/>
        </w:rPr>
        <w:t xml:space="preserve">i opinión particular se explica </w:t>
      </w:r>
      <w:r w:rsidR="00E12C67">
        <w:rPr>
          <w:rFonts w:ascii="Palatino Linotype" w:hAnsi="Palatino Linotype" w:cs="Arial"/>
        </w:rPr>
        <w:t>en dos vertientes, la primera la debida integración del</w:t>
      </w:r>
      <w:r w:rsidR="00E12C67" w:rsidRPr="00E12C67">
        <w:t xml:space="preserve"> </w:t>
      </w:r>
      <w:r w:rsidR="00E12C67" w:rsidRPr="00E12C67">
        <w:rPr>
          <w:rFonts w:ascii="Palatino Linotype" w:hAnsi="Palatino Linotype" w:cs="Arial"/>
        </w:rPr>
        <w:t xml:space="preserve">Comité de </w:t>
      </w:r>
      <w:r w:rsidR="00800DB9" w:rsidRPr="00E12C67">
        <w:rPr>
          <w:rFonts w:ascii="Palatino Linotype" w:hAnsi="Palatino Linotype" w:cs="Arial"/>
        </w:rPr>
        <w:t>Transparencia</w:t>
      </w:r>
      <w:r w:rsidR="00800DB9">
        <w:rPr>
          <w:rFonts w:ascii="Palatino Linotype" w:hAnsi="Palatino Linotype" w:cs="Arial"/>
        </w:rPr>
        <w:t xml:space="preserve"> y</w:t>
      </w:r>
      <w:r w:rsidR="00E12C67">
        <w:rPr>
          <w:rFonts w:ascii="Palatino Linotype" w:hAnsi="Palatino Linotype" w:cs="Arial"/>
        </w:rPr>
        <w:t xml:space="preserve"> en segundo </w:t>
      </w:r>
      <w:r w:rsidR="00800DB9">
        <w:rPr>
          <w:rFonts w:ascii="Palatino Linotype" w:hAnsi="Palatino Linotype" w:cs="Arial"/>
        </w:rPr>
        <w:t>término</w:t>
      </w:r>
      <w:r w:rsidR="00E12C67">
        <w:rPr>
          <w:rFonts w:ascii="Palatino Linotype" w:hAnsi="Palatino Linotype" w:cs="Arial"/>
        </w:rPr>
        <w:t xml:space="preserve"> lo referente a actos consentidos. </w:t>
      </w:r>
    </w:p>
    <w:p w:rsidR="00571F7C" w:rsidRDefault="00571F7C" w:rsidP="00571F7C">
      <w:pPr>
        <w:pStyle w:val="Ttulo1"/>
        <w:spacing w:line="360" w:lineRule="auto"/>
        <w:rPr>
          <w:rFonts w:ascii="Palatino Linotype" w:hAnsi="Palatino Linotype" w:cs="Arial"/>
        </w:rPr>
      </w:pPr>
      <w:bookmarkStart w:id="3" w:name="_Toc521317139"/>
      <w:r>
        <w:rPr>
          <w:rFonts w:ascii="Palatino Linotype" w:hAnsi="Palatino Linotype"/>
          <w:b/>
          <w:color w:val="auto"/>
          <w:sz w:val="24"/>
          <w:szCs w:val="24"/>
        </w:rPr>
        <w:t xml:space="preserve">II. </w:t>
      </w:r>
      <w:r w:rsidRPr="00571F7C">
        <w:rPr>
          <w:rFonts w:ascii="Palatino Linotype" w:hAnsi="Palatino Linotype"/>
          <w:b/>
          <w:color w:val="auto"/>
          <w:sz w:val="24"/>
          <w:szCs w:val="24"/>
        </w:rPr>
        <w:t>De los Comités de Transparencia</w:t>
      </w:r>
      <w:bookmarkEnd w:id="3"/>
    </w:p>
    <w:p w:rsidR="00CE0497" w:rsidRPr="00571F7C" w:rsidRDefault="00761A92" w:rsidP="00CE0497">
      <w:pPr>
        <w:pStyle w:val="Prrafodelista"/>
        <w:numPr>
          <w:ilvl w:val="0"/>
          <w:numId w:val="1"/>
        </w:numPr>
        <w:spacing w:before="240" w:line="360" w:lineRule="auto"/>
        <w:ind w:left="426" w:right="49"/>
        <w:jc w:val="both"/>
        <w:rPr>
          <w:rFonts w:ascii="Palatino Linotype" w:hAnsi="Palatino Linotype"/>
        </w:rPr>
      </w:pPr>
      <w:r w:rsidRPr="00571F7C">
        <w:rPr>
          <w:rFonts w:ascii="Palatino Linotype" w:hAnsi="Palatino Linotype" w:cs="Arial"/>
        </w:rPr>
        <w:t xml:space="preserve">En primer lugar, es </w:t>
      </w:r>
      <w:r w:rsidR="00176EF2" w:rsidRPr="00571F7C">
        <w:rPr>
          <w:rFonts w:ascii="Palatino Linotype" w:hAnsi="Palatino Linotype" w:cs="Arial"/>
        </w:rPr>
        <w:t>importante</w:t>
      </w:r>
      <w:r w:rsidRPr="00571F7C">
        <w:rPr>
          <w:rFonts w:ascii="Palatino Linotype" w:hAnsi="Palatino Linotype" w:cs="Arial"/>
        </w:rPr>
        <w:t xml:space="preserve"> </w:t>
      </w:r>
      <w:r w:rsidR="00176EF2" w:rsidRPr="00571F7C">
        <w:rPr>
          <w:rFonts w:ascii="Palatino Linotype" w:hAnsi="Palatino Linotype" w:cs="Arial"/>
        </w:rPr>
        <w:t>preciar</w:t>
      </w:r>
      <w:r w:rsidRPr="00571F7C">
        <w:rPr>
          <w:rFonts w:ascii="Palatino Linotype" w:hAnsi="Palatino Linotype" w:cs="Arial"/>
        </w:rPr>
        <w:t xml:space="preserve"> </w:t>
      </w:r>
      <w:r w:rsidR="00571F7C" w:rsidRPr="00571F7C">
        <w:rPr>
          <w:rFonts w:ascii="Palatino Linotype" w:hAnsi="Palatino Linotype" w:cs="Arial"/>
        </w:rPr>
        <w:t xml:space="preserve">que se entiende por </w:t>
      </w:r>
      <w:r w:rsidR="00571F7C">
        <w:rPr>
          <w:rFonts w:ascii="Palatino Linotype" w:hAnsi="Palatino Linotype" w:cs="Arial"/>
        </w:rPr>
        <w:t xml:space="preserve">Comité de Transparencia, es así que la </w:t>
      </w:r>
      <w:r w:rsidR="00571F7C" w:rsidRPr="00546812">
        <w:rPr>
          <w:rFonts w:ascii="Palatino Linotype" w:hAnsi="Palatino Linotype" w:cs="Arial"/>
        </w:rPr>
        <w:t>Ley de Transparencia de Transparencia y Acceso a la Información Pública del Estado de México y Municipios</w:t>
      </w:r>
      <w:r w:rsidR="00571F7C">
        <w:rPr>
          <w:rFonts w:ascii="Palatino Linotype" w:hAnsi="Palatino Linotype" w:cs="Arial"/>
        </w:rPr>
        <w:t xml:space="preserve"> establece lo siguiente: </w:t>
      </w:r>
    </w:p>
    <w:p w:rsidR="00571F7C" w:rsidRPr="00571F7C" w:rsidRDefault="00571F7C" w:rsidP="00571F7C">
      <w:pPr>
        <w:tabs>
          <w:tab w:val="left" w:pos="8080"/>
        </w:tabs>
        <w:spacing w:line="276" w:lineRule="auto"/>
        <w:ind w:left="1276" w:right="567"/>
        <w:jc w:val="both"/>
        <w:rPr>
          <w:rFonts w:ascii="Palatino Linotype" w:hAnsi="Palatino Linotype" w:cs="Arial"/>
          <w:i/>
        </w:rPr>
      </w:pPr>
      <w:r w:rsidRPr="00FC1C31">
        <w:rPr>
          <w:rFonts w:ascii="Palatino Linotype" w:hAnsi="Palatino Linotype" w:cs="Arial"/>
          <w:b/>
          <w:i/>
        </w:rPr>
        <w:lastRenderedPageBreak/>
        <w:t>Artículo 3.</w:t>
      </w:r>
      <w:r w:rsidRPr="00571F7C">
        <w:rPr>
          <w:rFonts w:ascii="Palatino Linotype" w:hAnsi="Palatino Linotype" w:cs="Arial"/>
          <w:i/>
        </w:rPr>
        <w:t xml:space="preserve"> Para los efectos de la presente Ley se entenderá por:</w:t>
      </w:r>
    </w:p>
    <w:p w:rsidR="00571F7C" w:rsidRPr="00571F7C" w:rsidRDefault="00571F7C" w:rsidP="00571F7C">
      <w:pPr>
        <w:tabs>
          <w:tab w:val="left" w:pos="8080"/>
        </w:tabs>
        <w:spacing w:line="276" w:lineRule="auto"/>
        <w:ind w:left="1276" w:right="567"/>
        <w:jc w:val="both"/>
        <w:rPr>
          <w:rFonts w:ascii="Palatino Linotype" w:hAnsi="Palatino Linotype" w:cs="Arial"/>
          <w:i/>
        </w:rPr>
      </w:pPr>
      <w:r w:rsidRPr="00571F7C">
        <w:rPr>
          <w:rFonts w:ascii="Palatino Linotype" w:hAnsi="Palatino Linotype" w:cs="Arial"/>
          <w:i/>
        </w:rPr>
        <w:t>…</w:t>
      </w:r>
    </w:p>
    <w:p w:rsidR="00FC1C31" w:rsidRDefault="00571F7C" w:rsidP="00571F7C">
      <w:pPr>
        <w:tabs>
          <w:tab w:val="left" w:pos="8080"/>
        </w:tabs>
        <w:spacing w:line="276" w:lineRule="auto"/>
        <w:ind w:left="1276" w:right="567"/>
        <w:jc w:val="both"/>
        <w:rPr>
          <w:rFonts w:ascii="Palatino Linotype" w:hAnsi="Palatino Linotype" w:cs="Arial"/>
          <w:i/>
        </w:rPr>
      </w:pPr>
      <w:r w:rsidRPr="00571F7C">
        <w:rPr>
          <w:rFonts w:ascii="Palatino Linotype" w:hAnsi="Palatino Linotype" w:cs="Arial"/>
          <w:i/>
        </w:rPr>
        <w:t xml:space="preserve">IV. </w:t>
      </w:r>
      <w:r w:rsidRPr="00FC1C31">
        <w:rPr>
          <w:rFonts w:ascii="Palatino Linotype" w:hAnsi="Palatino Linotype" w:cs="Arial"/>
          <w:b/>
          <w:i/>
        </w:rPr>
        <w:t>Comité de Transparencia</w:t>
      </w:r>
      <w:r w:rsidRPr="00571F7C">
        <w:rPr>
          <w:rFonts w:ascii="Palatino Linotype" w:hAnsi="Palatino Linotype" w:cs="Arial"/>
          <w:i/>
        </w:rPr>
        <w:t xml:space="preserve">: </w:t>
      </w:r>
      <w:r w:rsidRPr="00FC1C31">
        <w:rPr>
          <w:rFonts w:ascii="Palatino Linotype" w:hAnsi="Palatino Linotype" w:cs="Arial"/>
          <w:i/>
          <w:u w:val="single"/>
        </w:rPr>
        <w:t>Cuerpo colegiado que se integre para resolver sobre la información que deberá clasificarse, así como para atender y resolver los requerimientos de las Unidades de Transparencia y del Instituto</w:t>
      </w:r>
      <w:r w:rsidRPr="00571F7C">
        <w:rPr>
          <w:rFonts w:ascii="Palatino Linotype" w:hAnsi="Palatino Linotype" w:cs="Arial"/>
          <w:i/>
        </w:rPr>
        <w:t>;</w:t>
      </w:r>
    </w:p>
    <w:p w:rsidR="00571F7C" w:rsidRDefault="00571F7C" w:rsidP="00571F7C">
      <w:pPr>
        <w:tabs>
          <w:tab w:val="left" w:pos="8080"/>
        </w:tabs>
        <w:spacing w:line="276" w:lineRule="auto"/>
        <w:ind w:left="1276" w:right="567"/>
        <w:jc w:val="both"/>
        <w:rPr>
          <w:rFonts w:ascii="Palatino Linotype" w:hAnsi="Palatino Linotype" w:cs="Arial"/>
          <w:i/>
        </w:rPr>
      </w:pPr>
      <w:r w:rsidRPr="00571F7C">
        <w:rPr>
          <w:rFonts w:ascii="Palatino Linotype" w:hAnsi="Palatino Linotype" w:cs="Arial"/>
          <w:i/>
        </w:rPr>
        <w:t>…</w:t>
      </w:r>
      <w:r w:rsidR="00FC1C31">
        <w:rPr>
          <w:rFonts w:ascii="Palatino Linotype" w:hAnsi="Palatino Linotype" w:cs="Arial"/>
          <w:i/>
        </w:rPr>
        <w:t>”</w:t>
      </w:r>
    </w:p>
    <w:p w:rsidR="00C32923" w:rsidRDefault="00C32923" w:rsidP="00571F7C">
      <w:pPr>
        <w:tabs>
          <w:tab w:val="left" w:pos="8080"/>
        </w:tabs>
        <w:spacing w:line="276" w:lineRule="auto"/>
        <w:ind w:left="1276" w:right="567"/>
        <w:jc w:val="both"/>
        <w:rPr>
          <w:rFonts w:ascii="Palatino Linotype" w:hAnsi="Palatino Linotype" w:cs="Arial"/>
          <w:i/>
        </w:rPr>
      </w:pPr>
      <w:r>
        <w:rPr>
          <w:rFonts w:ascii="Palatino Linotype" w:hAnsi="Palatino Linotype" w:cs="Arial"/>
          <w:i/>
        </w:rPr>
        <w:t>(Énfasis añadido)</w:t>
      </w:r>
    </w:p>
    <w:p w:rsidR="00571F7C" w:rsidRPr="00C32923" w:rsidRDefault="00FC1C31" w:rsidP="00FC1C31">
      <w:pPr>
        <w:pStyle w:val="Prrafodelista"/>
        <w:numPr>
          <w:ilvl w:val="0"/>
          <w:numId w:val="1"/>
        </w:numPr>
        <w:spacing w:before="240" w:line="360" w:lineRule="auto"/>
        <w:ind w:left="426" w:right="49"/>
        <w:jc w:val="both"/>
        <w:rPr>
          <w:rFonts w:ascii="Palatino Linotype" w:hAnsi="Palatino Linotype"/>
        </w:rPr>
      </w:pPr>
      <w:r>
        <w:rPr>
          <w:rFonts w:ascii="Palatino Linotype" w:hAnsi="Palatino Linotype" w:cs="Arial"/>
        </w:rPr>
        <w:t xml:space="preserve">En ese orden de ideas, el artículo 24 de la citada Ley </w:t>
      </w:r>
      <w:r w:rsidR="00C32923">
        <w:rPr>
          <w:rFonts w:ascii="Palatino Linotype" w:hAnsi="Palatino Linotype" w:cs="Arial"/>
        </w:rPr>
        <w:t>instituye</w:t>
      </w:r>
      <w:r>
        <w:rPr>
          <w:rFonts w:ascii="Palatino Linotype" w:hAnsi="Palatino Linotype" w:cs="Arial"/>
        </w:rPr>
        <w:t xml:space="preserve"> que los Sujetos Obligados deberán de cumplir con diversas obligaciones según corresponda de acuerdo a su naturaleza, siendo la primera de ellas el </w:t>
      </w:r>
      <w:r w:rsidRPr="00FC1C31">
        <w:rPr>
          <w:rFonts w:ascii="Palatino Linotype" w:hAnsi="Palatino Linotype" w:cs="Arial"/>
        </w:rPr>
        <w:t>Constituir el Comité de Transparencia, las unidades de transparencia y vigilar su correcto funcionamiento de ac</w:t>
      </w:r>
      <w:r>
        <w:rPr>
          <w:rFonts w:ascii="Palatino Linotype" w:hAnsi="Palatino Linotype" w:cs="Arial"/>
        </w:rPr>
        <w:t xml:space="preserve">uerdo a su normatividad interna. </w:t>
      </w:r>
    </w:p>
    <w:p w:rsidR="00C32923" w:rsidRPr="00C32923" w:rsidRDefault="00C32923" w:rsidP="00C32923">
      <w:pPr>
        <w:pStyle w:val="Prrafodelista"/>
        <w:spacing w:before="240" w:line="360" w:lineRule="auto"/>
        <w:ind w:left="426" w:right="49"/>
        <w:jc w:val="both"/>
        <w:rPr>
          <w:rFonts w:ascii="Palatino Linotype" w:hAnsi="Palatino Linotype"/>
        </w:rPr>
      </w:pPr>
    </w:p>
    <w:p w:rsidR="00FC1C31" w:rsidRPr="00FC1C31" w:rsidRDefault="00C32923" w:rsidP="00FC1C31">
      <w:pPr>
        <w:pStyle w:val="Prrafodelista"/>
        <w:numPr>
          <w:ilvl w:val="0"/>
          <w:numId w:val="1"/>
        </w:numPr>
        <w:spacing w:before="240" w:line="360" w:lineRule="auto"/>
        <w:ind w:left="426" w:right="49"/>
        <w:jc w:val="both"/>
        <w:rPr>
          <w:rFonts w:ascii="Palatino Linotype" w:hAnsi="Palatino Linotype"/>
        </w:rPr>
      </w:pPr>
      <w:r>
        <w:rPr>
          <w:rFonts w:ascii="Palatino Linotype" w:hAnsi="Palatino Linotype"/>
        </w:rPr>
        <w:t xml:space="preserve">Con base a lo anteriormente citado, la Ley en la materia establece como deberá de estar integrado, a continuación se enuncia para mayor apreciación: </w:t>
      </w:r>
    </w:p>
    <w:p w:rsidR="00C32923" w:rsidRPr="00C32923" w:rsidRDefault="00C32923" w:rsidP="00127509">
      <w:pPr>
        <w:tabs>
          <w:tab w:val="left" w:pos="8080"/>
        </w:tabs>
        <w:spacing w:before="240"/>
        <w:ind w:left="1276" w:right="567"/>
        <w:jc w:val="both"/>
        <w:rPr>
          <w:rFonts w:ascii="Palatino Linotype" w:hAnsi="Palatino Linotype" w:cs="Arial"/>
          <w:i/>
        </w:rPr>
      </w:pPr>
      <w:r>
        <w:rPr>
          <w:rFonts w:ascii="Palatino Linotype" w:hAnsi="Palatino Linotype" w:cs="Arial"/>
          <w:b/>
          <w:i/>
        </w:rPr>
        <w:t>“</w:t>
      </w:r>
      <w:r w:rsidRPr="00C32923">
        <w:rPr>
          <w:rFonts w:ascii="Palatino Linotype" w:hAnsi="Palatino Linotype" w:cs="Arial"/>
          <w:b/>
          <w:i/>
        </w:rPr>
        <w:t>Artículo 45.</w:t>
      </w:r>
      <w:r w:rsidRPr="00C32923">
        <w:rPr>
          <w:rFonts w:ascii="Palatino Linotype" w:hAnsi="Palatino Linotype" w:cs="Arial"/>
          <w:i/>
        </w:rPr>
        <w:t xml:space="preserve"> Cada sujeto obligado establecerá un Comité de Transparencia, colegiado e integrado </w:t>
      </w:r>
      <w:r w:rsidRPr="00C32923">
        <w:rPr>
          <w:rFonts w:ascii="Palatino Linotype" w:hAnsi="Palatino Linotype" w:cs="Arial"/>
          <w:i/>
          <w:u w:val="single"/>
        </w:rPr>
        <w:t>por lo menos por tres miembros, debiendo de ser siempre un número impar</w:t>
      </w:r>
      <w:r w:rsidRPr="00C32923">
        <w:rPr>
          <w:rFonts w:ascii="Palatino Linotype" w:hAnsi="Palatino Linotype" w:cs="Arial"/>
          <w:i/>
        </w:rPr>
        <w:t>.</w:t>
      </w:r>
    </w:p>
    <w:p w:rsidR="00C32923" w:rsidRDefault="00C32923" w:rsidP="00127509">
      <w:pPr>
        <w:tabs>
          <w:tab w:val="left" w:pos="8080"/>
        </w:tabs>
        <w:spacing w:before="240"/>
        <w:ind w:left="1276" w:right="567"/>
        <w:jc w:val="both"/>
        <w:rPr>
          <w:rFonts w:ascii="Palatino Linotype" w:hAnsi="Palatino Linotype" w:cs="Arial"/>
          <w:i/>
        </w:rPr>
      </w:pPr>
      <w:r w:rsidRPr="00C32923">
        <w:rPr>
          <w:rFonts w:ascii="Palatino Linotype" w:hAnsi="Palatino Linotype" w:cs="Arial"/>
          <w:i/>
        </w:rPr>
        <w:t>Los integrantes del Comité de Transparencia no podrán depender jerárquicamente entre sí, tampoco</w:t>
      </w:r>
      <w:r>
        <w:rPr>
          <w:rFonts w:ascii="Palatino Linotype" w:hAnsi="Palatino Linotype" w:cs="Arial"/>
          <w:i/>
        </w:rPr>
        <w:t xml:space="preserve"> </w:t>
      </w:r>
      <w:r w:rsidRPr="00C32923">
        <w:rPr>
          <w:rFonts w:ascii="Palatino Linotype" w:hAnsi="Palatino Linotype" w:cs="Arial"/>
          <w:i/>
        </w:rPr>
        <w:t xml:space="preserve">podrán reunirse dos o más de estos integrantes en una sola persona. </w:t>
      </w:r>
    </w:p>
    <w:p w:rsidR="00C32923" w:rsidRDefault="00C32923" w:rsidP="00127509">
      <w:pPr>
        <w:tabs>
          <w:tab w:val="left" w:pos="8080"/>
        </w:tabs>
        <w:spacing w:before="240"/>
        <w:ind w:left="1276" w:right="567"/>
        <w:jc w:val="both"/>
        <w:rPr>
          <w:rFonts w:ascii="Palatino Linotype" w:hAnsi="Palatino Linotype" w:cs="Arial"/>
          <w:i/>
        </w:rPr>
      </w:pPr>
      <w:r w:rsidRPr="00C32923">
        <w:rPr>
          <w:rFonts w:ascii="Palatino Linotype" w:hAnsi="Palatino Linotype" w:cs="Arial"/>
          <w:i/>
        </w:rPr>
        <w:t>Cuando se presente el caso, el</w:t>
      </w:r>
      <w:r>
        <w:rPr>
          <w:rFonts w:ascii="Palatino Linotype" w:hAnsi="Palatino Linotype" w:cs="Arial"/>
          <w:i/>
        </w:rPr>
        <w:t xml:space="preserve"> </w:t>
      </w:r>
      <w:r w:rsidRPr="00C32923">
        <w:rPr>
          <w:rFonts w:ascii="Palatino Linotype" w:hAnsi="Palatino Linotype" w:cs="Arial"/>
          <w:i/>
        </w:rPr>
        <w:t xml:space="preserve">titular del sujeto obligado tendrá que nombrar a la persona que supla al subordinado. </w:t>
      </w:r>
    </w:p>
    <w:p w:rsidR="00C32923" w:rsidRPr="00C32923" w:rsidRDefault="00C32923" w:rsidP="00127509">
      <w:pPr>
        <w:tabs>
          <w:tab w:val="left" w:pos="8080"/>
        </w:tabs>
        <w:spacing w:before="240"/>
        <w:ind w:left="1276" w:right="567"/>
        <w:jc w:val="both"/>
        <w:rPr>
          <w:rFonts w:ascii="Palatino Linotype" w:hAnsi="Palatino Linotype" w:cs="Arial"/>
          <w:i/>
        </w:rPr>
      </w:pPr>
      <w:r w:rsidRPr="00C32923">
        <w:rPr>
          <w:rFonts w:ascii="Palatino Linotype" w:hAnsi="Palatino Linotype" w:cs="Arial"/>
          <w:i/>
        </w:rPr>
        <w:lastRenderedPageBreak/>
        <w:t>Los miembros</w:t>
      </w:r>
      <w:r>
        <w:rPr>
          <w:rFonts w:ascii="Palatino Linotype" w:hAnsi="Palatino Linotype" w:cs="Arial"/>
          <w:i/>
        </w:rPr>
        <w:t xml:space="preserve"> </w:t>
      </w:r>
      <w:r w:rsidRPr="00C32923">
        <w:rPr>
          <w:rFonts w:ascii="Palatino Linotype" w:hAnsi="Palatino Linotype" w:cs="Arial"/>
          <w:i/>
        </w:rPr>
        <w:t>propietarios de los Comités de Transparencia contarán con los suplentes designados, de conformidad</w:t>
      </w:r>
      <w:r>
        <w:rPr>
          <w:rFonts w:ascii="Palatino Linotype" w:hAnsi="Palatino Linotype" w:cs="Arial"/>
          <w:i/>
        </w:rPr>
        <w:t xml:space="preserve"> </w:t>
      </w:r>
      <w:r w:rsidRPr="00C32923">
        <w:rPr>
          <w:rFonts w:ascii="Palatino Linotype" w:hAnsi="Palatino Linotype" w:cs="Arial"/>
          <w:i/>
        </w:rPr>
        <w:t>con la normatividad interna de los respectivos sujetos obligados, y deberán corresponder a personas</w:t>
      </w:r>
      <w:r>
        <w:rPr>
          <w:rFonts w:ascii="Palatino Linotype" w:hAnsi="Palatino Linotype" w:cs="Arial"/>
          <w:i/>
        </w:rPr>
        <w:t xml:space="preserve"> </w:t>
      </w:r>
      <w:r w:rsidRPr="00C32923">
        <w:rPr>
          <w:rFonts w:ascii="Palatino Linotype" w:hAnsi="Palatino Linotype" w:cs="Arial"/>
          <w:i/>
        </w:rPr>
        <w:t>que ocupen cargos de la jerarquía inmediata inferior a la de dichos propietarios.</w:t>
      </w:r>
    </w:p>
    <w:p w:rsidR="00C32923" w:rsidRPr="00C32923" w:rsidRDefault="00C32923" w:rsidP="00127509">
      <w:pPr>
        <w:tabs>
          <w:tab w:val="left" w:pos="8080"/>
        </w:tabs>
        <w:spacing w:before="240"/>
        <w:ind w:left="1276" w:right="567"/>
        <w:jc w:val="both"/>
        <w:rPr>
          <w:rFonts w:ascii="Palatino Linotype" w:hAnsi="Palatino Linotype" w:cs="Arial"/>
          <w:i/>
        </w:rPr>
      </w:pPr>
      <w:r w:rsidRPr="00127509">
        <w:rPr>
          <w:rFonts w:ascii="Palatino Linotype" w:hAnsi="Palatino Linotype" w:cs="Arial"/>
          <w:b/>
          <w:i/>
        </w:rPr>
        <w:t>Artículo 46.</w:t>
      </w:r>
      <w:r w:rsidRPr="00C32923">
        <w:rPr>
          <w:rFonts w:ascii="Palatino Linotype" w:hAnsi="Palatino Linotype" w:cs="Arial"/>
          <w:i/>
        </w:rPr>
        <w:t xml:space="preserve"> Los sujetos </w:t>
      </w:r>
      <w:r w:rsidRPr="00127509">
        <w:rPr>
          <w:rFonts w:ascii="Palatino Linotype" w:hAnsi="Palatino Linotype" w:cs="Arial"/>
          <w:i/>
          <w:u w:val="single"/>
        </w:rPr>
        <w:t>obligados integrarán sus Comités de Transparencia de la siguiente forma</w:t>
      </w:r>
      <w:r w:rsidRPr="00C32923">
        <w:rPr>
          <w:rFonts w:ascii="Palatino Linotype" w:hAnsi="Palatino Linotype" w:cs="Arial"/>
          <w:i/>
        </w:rPr>
        <w:t>:</w:t>
      </w:r>
    </w:p>
    <w:p w:rsidR="00C32923" w:rsidRPr="00C32923" w:rsidRDefault="00C32923" w:rsidP="00127509">
      <w:pPr>
        <w:tabs>
          <w:tab w:val="left" w:pos="8080"/>
        </w:tabs>
        <w:spacing w:before="240"/>
        <w:ind w:left="1276" w:right="567"/>
        <w:jc w:val="both"/>
        <w:rPr>
          <w:rFonts w:ascii="Palatino Linotype" w:hAnsi="Palatino Linotype" w:cs="Arial"/>
          <w:i/>
        </w:rPr>
      </w:pPr>
      <w:r w:rsidRPr="00C32923">
        <w:rPr>
          <w:rFonts w:ascii="Palatino Linotype" w:hAnsi="Palatino Linotype" w:cs="Arial"/>
          <w:i/>
        </w:rPr>
        <w:t xml:space="preserve">I. </w:t>
      </w:r>
      <w:r w:rsidRPr="00127509">
        <w:rPr>
          <w:rFonts w:ascii="Palatino Linotype" w:hAnsi="Palatino Linotype" w:cs="Arial"/>
          <w:i/>
          <w:u w:val="single"/>
        </w:rPr>
        <w:t>El titular de la unidad de transparencia</w:t>
      </w:r>
      <w:r w:rsidRPr="00C32923">
        <w:rPr>
          <w:rFonts w:ascii="Palatino Linotype" w:hAnsi="Palatino Linotype" w:cs="Arial"/>
          <w:i/>
        </w:rPr>
        <w:t>;</w:t>
      </w:r>
    </w:p>
    <w:p w:rsidR="00C32923" w:rsidRPr="00C32923" w:rsidRDefault="00C32923" w:rsidP="00127509">
      <w:pPr>
        <w:tabs>
          <w:tab w:val="left" w:pos="8080"/>
        </w:tabs>
        <w:spacing w:before="240"/>
        <w:ind w:left="1276" w:right="567"/>
        <w:jc w:val="both"/>
        <w:rPr>
          <w:rFonts w:ascii="Palatino Linotype" w:hAnsi="Palatino Linotype" w:cs="Arial"/>
          <w:i/>
        </w:rPr>
      </w:pPr>
      <w:r w:rsidRPr="00C32923">
        <w:rPr>
          <w:rFonts w:ascii="Palatino Linotype" w:hAnsi="Palatino Linotype" w:cs="Arial"/>
          <w:i/>
        </w:rPr>
        <w:t xml:space="preserve">II. </w:t>
      </w:r>
      <w:r w:rsidRPr="00127509">
        <w:rPr>
          <w:rFonts w:ascii="Palatino Linotype" w:hAnsi="Palatino Linotype" w:cs="Arial"/>
          <w:i/>
          <w:u w:val="single"/>
        </w:rPr>
        <w:t>El responsable del área coordinadora de archivos o equivalente</w:t>
      </w:r>
      <w:r w:rsidRPr="00C32923">
        <w:rPr>
          <w:rFonts w:ascii="Palatino Linotype" w:hAnsi="Palatino Linotype" w:cs="Arial"/>
          <w:i/>
        </w:rPr>
        <w:t>; y</w:t>
      </w:r>
    </w:p>
    <w:p w:rsidR="00C32923" w:rsidRPr="00C32923" w:rsidRDefault="00C32923" w:rsidP="00127509">
      <w:pPr>
        <w:tabs>
          <w:tab w:val="left" w:pos="8080"/>
        </w:tabs>
        <w:spacing w:before="240"/>
        <w:ind w:left="1276" w:right="567"/>
        <w:jc w:val="both"/>
        <w:rPr>
          <w:rFonts w:ascii="Palatino Linotype" w:hAnsi="Palatino Linotype" w:cs="Arial"/>
          <w:i/>
        </w:rPr>
      </w:pPr>
      <w:r w:rsidRPr="00C32923">
        <w:rPr>
          <w:rFonts w:ascii="Palatino Linotype" w:hAnsi="Palatino Linotype" w:cs="Arial"/>
          <w:i/>
        </w:rPr>
        <w:t xml:space="preserve">III. </w:t>
      </w:r>
      <w:r w:rsidRPr="00127509">
        <w:rPr>
          <w:rFonts w:ascii="Palatino Linotype" w:hAnsi="Palatino Linotype" w:cs="Arial"/>
          <w:i/>
          <w:u w:val="single"/>
        </w:rPr>
        <w:t>El titular del órgano de control interno o equivalente</w:t>
      </w:r>
      <w:r w:rsidRPr="00C32923">
        <w:rPr>
          <w:rFonts w:ascii="Palatino Linotype" w:hAnsi="Palatino Linotype" w:cs="Arial"/>
          <w:i/>
        </w:rPr>
        <w:t>.</w:t>
      </w:r>
    </w:p>
    <w:p w:rsidR="00C32923" w:rsidRPr="00C32923" w:rsidRDefault="00C32923" w:rsidP="00127509">
      <w:pPr>
        <w:tabs>
          <w:tab w:val="left" w:pos="8080"/>
        </w:tabs>
        <w:spacing w:before="240"/>
        <w:ind w:left="1276" w:right="567"/>
        <w:jc w:val="both"/>
        <w:rPr>
          <w:rFonts w:ascii="Palatino Linotype" w:hAnsi="Palatino Linotype" w:cs="Arial"/>
          <w:i/>
        </w:rPr>
      </w:pPr>
      <w:r w:rsidRPr="00C32923">
        <w:rPr>
          <w:rFonts w:ascii="Palatino Linotype" w:hAnsi="Palatino Linotype" w:cs="Arial"/>
          <w:i/>
        </w:rPr>
        <w:t xml:space="preserve">También estará integrado por el </w:t>
      </w:r>
      <w:r w:rsidRPr="00127509">
        <w:rPr>
          <w:rFonts w:ascii="Palatino Linotype" w:hAnsi="Palatino Linotype" w:cs="Arial"/>
          <w:i/>
          <w:u w:val="single"/>
        </w:rPr>
        <w:t>servidor público encargado de la protección de los datos personales</w:t>
      </w:r>
      <w:r w:rsidR="00127509" w:rsidRPr="00127509">
        <w:rPr>
          <w:rFonts w:ascii="Palatino Linotype" w:hAnsi="Palatino Linotype" w:cs="Arial"/>
          <w:i/>
          <w:u w:val="single"/>
        </w:rPr>
        <w:t xml:space="preserve"> </w:t>
      </w:r>
      <w:r w:rsidRPr="00127509">
        <w:rPr>
          <w:rFonts w:ascii="Palatino Linotype" w:hAnsi="Palatino Linotype" w:cs="Arial"/>
          <w:i/>
          <w:u w:val="single"/>
        </w:rPr>
        <w:t>cuando sesione para cuestiones relacionadas con esta materia</w:t>
      </w:r>
      <w:r w:rsidRPr="00C32923">
        <w:rPr>
          <w:rFonts w:ascii="Palatino Linotype" w:hAnsi="Palatino Linotype" w:cs="Arial"/>
          <w:i/>
        </w:rPr>
        <w:t>.</w:t>
      </w:r>
    </w:p>
    <w:p w:rsidR="00571F7C" w:rsidRDefault="00C32923" w:rsidP="00127509">
      <w:pPr>
        <w:tabs>
          <w:tab w:val="left" w:pos="8080"/>
        </w:tabs>
        <w:spacing w:before="240"/>
        <w:ind w:left="1276" w:right="567"/>
        <w:jc w:val="both"/>
        <w:rPr>
          <w:rFonts w:ascii="Palatino Linotype" w:hAnsi="Palatino Linotype" w:cs="Arial"/>
          <w:i/>
        </w:rPr>
      </w:pPr>
      <w:r w:rsidRPr="00C32923">
        <w:rPr>
          <w:rFonts w:ascii="Palatino Linotype" w:hAnsi="Palatino Linotype" w:cs="Arial"/>
          <w:i/>
        </w:rPr>
        <w:t>Todos los Comités de Transparencia deberán registrarse ante el Instituto.</w:t>
      </w:r>
      <w:r>
        <w:rPr>
          <w:rFonts w:ascii="Palatino Linotype" w:hAnsi="Palatino Linotype" w:cs="Arial"/>
          <w:i/>
        </w:rPr>
        <w:t xml:space="preserve">” </w:t>
      </w:r>
    </w:p>
    <w:p w:rsidR="00C32923" w:rsidRDefault="00C32923" w:rsidP="00127509">
      <w:pPr>
        <w:tabs>
          <w:tab w:val="left" w:pos="8080"/>
        </w:tabs>
        <w:ind w:left="1276" w:right="567"/>
        <w:jc w:val="both"/>
        <w:rPr>
          <w:rFonts w:ascii="Palatino Linotype" w:hAnsi="Palatino Linotype" w:cs="Arial"/>
          <w:i/>
        </w:rPr>
      </w:pPr>
      <w:r>
        <w:rPr>
          <w:rFonts w:ascii="Palatino Linotype" w:hAnsi="Palatino Linotype" w:cs="Arial"/>
          <w:i/>
        </w:rPr>
        <w:t>(Énfasis añadido)</w:t>
      </w:r>
    </w:p>
    <w:p w:rsidR="00C32923" w:rsidRPr="00C32923" w:rsidRDefault="00C32923" w:rsidP="00C32923">
      <w:pPr>
        <w:tabs>
          <w:tab w:val="left" w:pos="8080"/>
        </w:tabs>
        <w:spacing w:line="276" w:lineRule="auto"/>
        <w:ind w:left="1276" w:right="567"/>
        <w:jc w:val="both"/>
        <w:rPr>
          <w:rFonts w:ascii="Palatino Linotype" w:hAnsi="Palatino Linotype" w:cs="Arial"/>
          <w:i/>
        </w:rPr>
      </w:pPr>
    </w:p>
    <w:p w:rsidR="00127509" w:rsidRPr="00590176" w:rsidRDefault="00127509" w:rsidP="00CE0497">
      <w:pPr>
        <w:pStyle w:val="Prrafodelista"/>
        <w:numPr>
          <w:ilvl w:val="0"/>
          <w:numId w:val="1"/>
        </w:numPr>
        <w:spacing w:before="240" w:line="360" w:lineRule="auto"/>
        <w:ind w:left="426" w:right="49"/>
        <w:jc w:val="both"/>
        <w:rPr>
          <w:rFonts w:ascii="Palatino Linotype" w:hAnsi="Palatino Linotype"/>
          <w:color w:val="222222"/>
          <w:shd w:val="clear" w:color="auto" w:fill="FFFFFF"/>
        </w:rPr>
      </w:pPr>
      <w:r>
        <w:rPr>
          <w:rFonts w:ascii="Palatino Linotype" w:hAnsi="Palatino Linotype" w:cs="Arial"/>
        </w:rPr>
        <w:t xml:space="preserve">Es </w:t>
      </w:r>
      <w:r w:rsidR="005E26B3">
        <w:rPr>
          <w:rFonts w:ascii="Palatino Linotype" w:hAnsi="Palatino Linotype" w:cs="Arial"/>
        </w:rPr>
        <w:t>así</w:t>
      </w:r>
      <w:r>
        <w:rPr>
          <w:rFonts w:ascii="Palatino Linotype" w:hAnsi="Palatino Linotype" w:cs="Arial"/>
        </w:rPr>
        <w:t xml:space="preserve">, como el Comité de Transparencia tiene delimitados quienes serán los funcionarios o personal que lo formara, por lo tanto, el Sujeto Obligado al </w:t>
      </w:r>
      <w:r w:rsidRPr="00590176">
        <w:rPr>
          <w:rFonts w:ascii="Palatino Linotype" w:hAnsi="Palatino Linotype" w:cs="Arial"/>
        </w:rPr>
        <w:t xml:space="preserve">momento de emitir su Acuerdo de clasificación de la información como reservada número UAEM/CI/CIR/0004/18 </w:t>
      </w:r>
      <w:r w:rsidR="00590176" w:rsidRPr="00590176">
        <w:rPr>
          <w:rFonts w:ascii="Palatino Linotype" w:hAnsi="Palatino Linotype" w:cs="Arial"/>
        </w:rPr>
        <w:t>debió</w:t>
      </w:r>
      <w:r w:rsidRPr="00590176">
        <w:rPr>
          <w:rFonts w:ascii="Palatino Linotype" w:hAnsi="Palatino Linotype" w:cs="Arial"/>
        </w:rPr>
        <w:t xml:space="preserve"> de apegarse a lo </w:t>
      </w:r>
      <w:r w:rsidR="00E045A2" w:rsidRPr="00590176">
        <w:rPr>
          <w:rFonts w:ascii="Palatino Linotype" w:hAnsi="Palatino Linotype" w:cs="Arial"/>
        </w:rPr>
        <w:t>establecido</w:t>
      </w:r>
      <w:r w:rsidRPr="00590176">
        <w:rPr>
          <w:rFonts w:ascii="Palatino Linotype" w:hAnsi="Palatino Linotype" w:cs="Arial"/>
        </w:rPr>
        <w:t xml:space="preserve"> </w:t>
      </w:r>
      <w:r w:rsidR="00E045A2" w:rsidRPr="00590176">
        <w:rPr>
          <w:rFonts w:ascii="Palatino Linotype" w:hAnsi="Palatino Linotype" w:cs="Arial"/>
        </w:rPr>
        <w:t>por</w:t>
      </w:r>
      <w:r w:rsidRPr="00590176">
        <w:rPr>
          <w:rFonts w:ascii="Palatino Linotype" w:hAnsi="Palatino Linotype" w:cs="Arial"/>
        </w:rPr>
        <w:t xml:space="preserve"> la norma</w:t>
      </w:r>
      <w:r>
        <w:rPr>
          <w:rFonts w:ascii="Palatino Linotype" w:hAnsi="Palatino Linotype"/>
          <w:color w:val="222222"/>
          <w:shd w:val="clear" w:color="auto" w:fill="FFFFFF"/>
        </w:rPr>
        <w:t xml:space="preserve">. </w:t>
      </w:r>
    </w:p>
    <w:p w:rsidR="00E045A2" w:rsidRPr="00127509" w:rsidRDefault="00E045A2" w:rsidP="00E045A2">
      <w:pPr>
        <w:pStyle w:val="Prrafodelista"/>
        <w:spacing w:before="240" w:line="360" w:lineRule="auto"/>
        <w:ind w:left="426" w:right="49"/>
        <w:jc w:val="both"/>
        <w:rPr>
          <w:rFonts w:ascii="Palatino Linotype" w:hAnsi="Palatino Linotype"/>
        </w:rPr>
      </w:pPr>
    </w:p>
    <w:p w:rsidR="00FC12A4" w:rsidRPr="00FC12A4" w:rsidRDefault="00E045A2" w:rsidP="00FC12A4">
      <w:pPr>
        <w:pStyle w:val="Prrafodelista"/>
        <w:numPr>
          <w:ilvl w:val="0"/>
          <w:numId w:val="1"/>
        </w:numPr>
        <w:spacing w:before="240" w:line="360" w:lineRule="auto"/>
        <w:ind w:left="426" w:right="49"/>
        <w:jc w:val="both"/>
        <w:rPr>
          <w:rFonts w:ascii="Palatino Linotype" w:hAnsi="Palatino Linotype"/>
        </w:rPr>
      </w:pPr>
      <w:r>
        <w:rPr>
          <w:rFonts w:ascii="Palatino Linotype" w:hAnsi="Palatino Linotype"/>
        </w:rPr>
        <w:lastRenderedPageBreak/>
        <w:t>Es importante indicar que dicho acuerdo únicamente se dio a la visa de ahora particular con la omisión de la</w:t>
      </w:r>
      <w:r w:rsidR="00127509" w:rsidRPr="00E045A2">
        <w:rPr>
          <w:rFonts w:ascii="Palatino Linotype" w:hAnsi="Palatino Linotype" w:cs="Arial"/>
        </w:rPr>
        <w:t xml:space="preserve"> última foja </w:t>
      </w:r>
      <w:r>
        <w:rPr>
          <w:rFonts w:ascii="Palatino Linotype" w:hAnsi="Palatino Linotype" w:cs="Arial"/>
        </w:rPr>
        <w:t xml:space="preserve"> toda vez que </w:t>
      </w:r>
      <w:r w:rsidR="00127509" w:rsidRPr="00E045A2">
        <w:rPr>
          <w:rFonts w:ascii="Palatino Linotype" w:hAnsi="Palatino Linotype" w:cs="Arial"/>
        </w:rPr>
        <w:t xml:space="preserve">en </w:t>
      </w:r>
      <w:r>
        <w:rPr>
          <w:rFonts w:ascii="Palatino Linotype" w:hAnsi="Palatino Linotype" w:cs="Arial"/>
        </w:rPr>
        <w:t>la</w:t>
      </w:r>
      <w:r w:rsidR="00127509" w:rsidRPr="00E045A2">
        <w:rPr>
          <w:rFonts w:ascii="Palatino Linotype" w:hAnsi="Palatino Linotype" w:cs="Arial"/>
        </w:rPr>
        <w:t xml:space="preserve"> se plasma el nombre del Consejero Alumno del Plantel “Dr. Ángel Ma. Garibay Kintana”, que es una </w:t>
      </w:r>
      <w:r w:rsidR="00590176">
        <w:rPr>
          <w:rFonts w:ascii="Palatino Linotype" w:hAnsi="Palatino Linotype" w:cs="Arial"/>
        </w:rPr>
        <w:t>e</w:t>
      </w:r>
      <w:r w:rsidR="00127509" w:rsidRPr="00E045A2">
        <w:rPr>
          <w:rFonts w:ascii="Palatino Linotype" w:hAnsi="Palatino Linotype" w:cs="Arial"/>
        </w:rPr>
        <w:t xml:space="preserve">scuela preparatoria, tal y como se desprende del Directorio del </w:t>
      </w:r>
      <w:r w:rsidR="00590176">
        <w:rPr>
          <w:rFonts w:ascii="Palatino Linotype" w:hAnsi="Palatino Linotype" w:cs="Arial"/>
        </w:rPr>
        <w:t>Sujeto Obligado</w:t>
      </w:r>
      <w:r w:rsidR="00FC12A4">
        <w:rPr>
          <w:rFonts w:ascii="Palatino Linotype" w:hAnsi="Palatino Linotype" w:cs="Arial"/>
        </w:rPr>
        <w:t xml:space="preserve"> citado en la Resolución de referencia</w:t>
      </w:r>
      <w:r w:rsidR="00590176">
        <w:rPr>
          <w:rFonts w:ascii="Palatino Linotype" w:hAnsi="Palatino Linotype" w:cs="Arial"/>
        </w:rPr>
        <w:t>.</w:t>
      </w:r>
    </w:p>
    <w:p w:rsidR="00FC12A4" w:rsidRPr="00FC12A4" w:rsidRDefault="00FC12A4" w:rsidP="00FC12A4">
      <w:pPr>
        <w:pStyle w:val="Prrafodelista"/>
        <w:rPr>
          <w:rFonts w:ascii="Palatino Linotype" w:eastAsia="Calibri" w:hAnsi="Palatino Linotype" w:cs="Times New Roman"/>
          <w:lang w:val="es-ES" w:eastAsia="es-ES"/>
        </w:rPr>
      </w:pPr>
    </w:p>
    <w:p w:rsidR="00127509" w:rsidRPr="00FC12A4" w:rsidRDefault="00127509" w:rsidP="00FC12A4">
      <w:pPr>
        <w:pStyle w:val="Prrafodelista"/>
        <w:numPr>
          <w:ilvl w:val="0"/>
          <w:numId w:val="1"/>
        </w:numPr>
        <w:spacing w:before="240" w:line="360" w:lineRule="auto"/>
        <w:ind w:left="426" w:right="49"/>
        <w:jc w:val="both"/>
        <w:rPr>
          <w:rFonts w:ascii="Palatino Linotype" w:hAnsi="Palatino Linotype"/>
        </w:rPr>
      </w:pPr>
      <w:r w:rsidRPr="00FC12A4">
        <w:rPr>
          <w:rFonts w:ascii="Palatino Linotype" w:eastAsia="Calibri" w:hAnsi="Palatino Linotype" w:cs="Times New Roman"/>
          <w:lang w:val="es-ES" w:eastAsia="es-ES"/>
        </w:rPr>
        <w:t xml:space="preserve">Por lo tanto, si se trata de un alumno de la </w:t>
      </w:r>
      <w:r w:rsidR="00590176" w:rsidRPr="00FC12A4">
        <w:rPr>
          <w:rFonts w:ascii="Palatino Linotype" w:eastAsia="Calibri" w:hAnsi="Palatino Linotype" w:cs="Times New Roman"/>
          <w:lang w:val="es-ES" w:eastAsia="es-ES"/>
        </w:rPr>
        <w:t>escuela preparatoria</w:t>
      </w:r>
      <w:r w:rsidRPr="00FC12A4">
        <w:rPr>
          <w:rFonts w:ascii="Palatino Linotype" w:eastAsia="Calibri" w:hAnsi="Palatino Linotype" w:cs="Times New Roman"/>
          <w:lang w:val="es-ES" w:eastAsia="es-ES"/>
        </w:rPr>
        <w:t xml:space="preserve">, se podría entender que es un menor de edad, por lo que </w:t>
      </w:r>
      <w:r w:rsidR="00590176" w:rsidRPr="00FC12A4">
        <w:rPr>
          <w:rFonts w:ascii="Palatino Linotype" w:eastAsia="Calibri" w:hAnsi="Palatino Linotype" w:cs="Times New Roman"/>
          <w:lang w:val="es-ES" w:eastAsia="es-ES"/>
        </w:rPr>
        <w:t>esta Ponencia</w:t>
      </w:r>
      <w:r w:rsidR="005E26B3" w:rsidRPr="00FC12A4">
        <w:rPr>
          <w:rFonts w:ascii="Palatino Linotype" w:eastAsia="Calibri" w:hAnsi="Palatino Linotype" w:cs="Times New Roman"/>
          <w:lang w:val="es-ES" w:eastAsia="es-ES"/>
        </w:rPr>
        <w:t xml:space="preserve"> se encuentra de acuerdo con lo señalado por la</w:t>
      </w:r>
      <w:r w:rsidR="00590176" w:rsidRPr="00FC12A4">
        <w:rPr>
          <w:rFonts w:ascii="Palatino Linotype" w:eastAsia="Calibri" w:hAnsi="Palatino Linotype" w:cs="Times New Roman"/>
          <w:lang w:val="es-ES" w:eastAsia="es-ES"/>
        </w:rPr>
        <w:t xml:space="preserve"> Ponencia </w:t>
      </w:r>
      <w:r w:rsidR="005E26B3" w:rsidRPr="00FC12A4">
        <w:rPr>
          <w:rFonts w:ascii="Palatino Linotype" w:eastAsia="Calibri" w:hAnsi="Palatino Linotype" w:cs="Times New Roman"/>
          <w:lang w:val="es-ES" w:eastAsia="es-ES"/>
        </w:rPr>
        <w:t>Resolutoria</w:t>
      </w:r>
      <w:r w:rsidR="00590176" w:rsidRPr="00FC12A4">
        <w:rPr>
          <w:rFonts w:ascii="Palatino Linotype" w:eastAsia="Calibri" w:hAnsi="Palatino Linotype" w:cs="Times New Roman"/>
          <w:lang w:val="es-ES" w:eastAsia="es-ES"/>
        </w:rPr>
        <w:t xml:space="preserve"> que </w:t>
      </w:r>
      <w:r w:rsidR="005E26B3" w:rsidRPr="00FC12A4">
        <w:rPr>
          <w:rFonts w:ascii="Palatino Linotype" w:eastAsia="Calibri" w:hAnsi="Palatino Linotype" w:cs="Times New Roman"/>
          <w:lang w:val="es-ES" w:eastAsia="es-ES"/>
        </w:rPr>
        <w:t>apunto</w:t>
      </w:r>
      <w:r w:rsidR="00590176" w:rsidRPr="00FC12A4">
        <w:rPr>
          <w:rFonts w:ascii="Palatino Linotype" w:eastAsia="Calibri" w:hAnsi="Palatino Linotype" w:cs="Times New Roman"/>
          <w:lang w:val="es-ES" w:eastAsia="es-ES"/>
        </w:rPr>
        <w:t xml:space="preserve"> que </w:t>
      </w:r>
      <w:r w:rsidR="005E26B3" w:rsidRPr="00FC12A4">
        <w:rPr>
          <w:rFonts w:ascii="Palatino Linotype" w:eastAsia="Calibri" w:hAnsi="Palatino Linotype" w:cs="Times New Roman"/>
          <w:lang w:val="es-ES" w:eastAsia="es-ES"/>
        </w:rPr>
        <w:t>el</w:t>
      </w:r>
      <w:r w:rsidRPr="00FC12A4">
        <w:rPr>
          <w:rFonts w:ascii="Palatino Linotype" w:eastAsia="Calibri" w:hAnsi="Palatino Linotype" w:cs="Times New Roman"/>
          <w:lang w:val="es-ES" w:eastAsia="es-ES"/>
        </w:rPr>
        <w:t xml:space="preserve"> </w:t>
      </w:r>
      <w:r w:rsidR="005E26B3" w:rsidRPr="00FC12A4">
        <w:rPr>
          <w:rFonts w:ascii="Palatino Linotype" w:eastAsia="Calibri" w:hAnsi="Palatino Linotype" w:cs="Times New Roman"/>
          <w:lang w:val="es-ES" w:eastAsia="es-ES"/>
        </w:rPr>
        <w:t xml:space="preserve">Sujeto Obligado </w:t>
      </w:r>
      <w:r w:rsidRPr="00FC12A4">
        <w:rPr>
          <w:rFonts w:ascii="Palatino Linotype" w:eastAsia="Calibri" w:hAnsi="Palatino Linotype" w:cs="Times New Roman"/>
          <w:lang w:val="es-ES" w:eastAsia="es-ES"/>
        </w:rPr>
        <w:t>de</w:t>
      </w:r>
      <w:r w:rsidR="005E26B3" w:rsidRPr="00FC12A4">
        <w:rPr>
          <w:rFonts w:ascii="Palatino Linotype" w:eastAsia="Calibri" w:hAnsi="Palatino Linotype" w:cs="Times New Roman"/>
          <w:lang w:val="es-ES" w:eastAsia="es-ES"/>
        </w:rPr>
        <w:t xml:space="preserve">bió haber protegido dicho dato personal. </w:t>
      </w:r>
    </w:p>
    <w:p w:rsidR="005E26B3" w:rsidRPr="005E26B3" w:rsidRDefault="005E26B3" w:rsidP="005E26B3">
      <w:pPr>
        <w:pStyle w:val="Prrafodelista"/>
        <w:spacing w:before="240" w:line="360" w:lineRule="auto"/>
        <w:ind w:left="426" w:right="49"/>
        <w:jc w:val="both"/>
        <w:rPr>
          <w:rFonts w:ascii="Palatino Linotype" w:hAnsi="Palatino Linotype"/>
        </w:rPr>
      </w:pPr>
    </w:p>
    <w:p w:rsidR="005E26B3" w:rsidRPr="005E26B3" w:rsidRDefault="005E26B3" w:rsidP="00127509">
      <w:pPr>
        <w:pStyle w:val="Prrafodelista"/>
        <w:numPr>
          <w:ilvl w:val="0"/>
          <w:numId w:val="1"/>
        </w:numPr>
        <w:spacing w:before="240" w:line="360" w:lineRule="auto"/>
        <w:ind w:left="426" w:right="49"/>
        <w:jc w:val="both"/>
        <w:rPr>
          <w:rFonts w:ascii="Palatino Linotype" w:hAnsi="Palatino Linotype"/>
        </w:rPr>
      </w:pPr>
      <w:r>
        <w:rPr>
          <w:rFonts w:ascii="Palatino Linotype" w:eastAsia="Arial Unicode MS" w:hAnsi="Palatino Linotype" w:cs="Arial"/>
        </w:rPr>
        <w:t xml:space="preserve">Aunado a lo anterior, es importante indicar que la Ley en la materia establece claramente quienes serán los miembros del Comité de Transparencia por lo </w:t>
      </w:r>
      <w:r w:rsidR="00305BD6">
        <w:rPr>
          <w:rFonts w:ascii="Palatino Linotype" w:eastAsia="Arial Unicode MS" w:hAnsi="Palatino Linotype" w:cs="Arial"/>
        </w:rPr>
        <w:t>tanto</w:t>
      </w:r>
      <w:r>
        <w:rPr>
          <w:rFonts w:ascii="Palatino Linotype" w:eastAsia="Arial Unicode MS" w:hAnsi="Palatino Linotype" w:cs="Arial"/>
        </w:rPr>
        <w:t xml:space="preserve"> el </w:t>
      </w:r>
      <w:r w:rsidR="00305BD6">
        <w:rPr>
          <w:rFonts w:ascii="Palatino Linotype" w:eastAsia="Arial Unicode MS" w:hAnsi="Palatino Linotype" w:cs="Arial"/>
        </w:rPr>
        <w:t>consejero alumno no debería de ser parte del citado Comité.</w:t>
      </w:r>
    </w:p>
    <w:p w:rsidR="006C5B73" w:rsidRPr="00546812" w:rsidRDefault="00571F7C" w:rsidP="00571F7C">
      <w:pPr>
        <w:pStyle w:val="Ttulo1"/>
        <w:spacing w:line="360" w:lineRule="auto"/>
        <w:rPr>
          <w:rFonts w:ascii="Palatino Linotype" w:hAnsi="Palatino Linotype"/>
          <w:b/>
          <w:color w:val="auto"/>
          <w:sz w:val="24"/>
          <w:szCs w:val="24"/>
        </w:rPr>
      </w:pPr>
      <w:bookmarkStart w:id="4" w:name="_Toc518566988"/>
      <w:bookmarkStart w:id="5" w:name="_Toc521317140"/>
      <w:r>
        <w:rPr>
          <w:rFonts w:ascii="Palatino Linotype" w:hAnsi="Palatino Linotype"/>
          <w:b/>
          <w:color w:val="auto"/>
          <w:sz w:val="24"/>
          <w:szCs w:val="24"/>
        </w:rPr>
        <w:t xml:space="preserve">III. </w:t>
      </w:r>
      <w:r w:rsidR="006C5B73" w:rsidRPr="00546812">
        <w:rPr>
          <w:rFonts w:ascii="Palatino Linotype" w:hAnsi="Palatino Linotype"/>
          <w:b/>
          <w:color w:val="auto"/>
          <w:sz w:val="24"/>
          <w:szCs w:val="24"/>
        </w:rPr>
        <w:t>Los actos consentidos no deben invocarse en el derecho fundamental de acceder a la información pública gubernamental.</w:t>
      </w:r>
      <w:bookmarkEnd w:id="4"/>
      <w:bookmarkEnd w:id="5"/>
    </w:p>
    <w:p w:rsidR="006C5B73" w:rsidRPr="00546812" w:rsidRDefault="006C5B73" w:rsidP="006C5B73">
      <w:pPr>
        <w:pStyle w:val="Prrafodelista"/>
        <w:numPr>
          <w:ilvl w:val="0"/>
          <w:numId w:val="1"/>
        </w:numPr>
        <w:spacing w:before="240" w:line="360" w:lineRule="auto"/>
        <w:ind w:right="49"/>
        <w:jc w:val="both"/>
        <w:rPr>
          <w:rFonts w:ascii="Palatino Linotype" w:hAnsi="Palatino Linotype" w:cs="Arial"/>
        </w:rPr>
      </w:pPr>
      <w:r>
        <w:rPr>
          <w:rFonts w:ascii="Palatino Linotype" w:eastAsia="Calibri" w:hAnsi="Palatino Linotype" w:cs="Times New Roman"/>
          <w:lang w:val="es-ES" w:eastAsia="es-ES"/>
        </w:rPr>
        <w:t>Finalmente, e</w:t>
      </w:r>
      <w:r w:rsidRPr="00546812">
        <w:rPr>
          <w:rFonts w:ascii="Palatino Linotype" w:eastAsia="Calibri" w:hAnsi="Palatino Linotype" w:cs="Times New Roman"/>
          <w:lang w:val="es-ES" w:eastAsia="es-ES"/>
        </w:rPr>
        <w:t>n</w:t>
      </w:r>
      <w:r w:rsidRPr="00546812">
        <w:rPr>
          <w:rFonts w:ascii="Palatino Linotype" w:hAnsi="Palatino Linotype" w:cs="Arial"/>
        </w:rPr>
        <w:t xml:space="preserve"> la resolución se precisa un criterio denominado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w:t>
      </w:r>
      <w:r w:rsidRPr="00546812">
        <w:rPr>
          <w:rFonts w:ascii="Palatino Linotype" w:hAnsi="Palatino Linotype" w:cs="Arial"/>
        </w:rPr>
        <w:lastRenderedPageBreak/>
        <w:t xml:space="preserve">sistema electrónico que asiste a la persona que realiza una solicitud o presenta un recurso de revisión, de tal forma que se pretende que ejerza sus derechos sin verse en la necesidad de </w:t>
      </w:r>
      <w:r w:rsidRPr="00546812">
        <w:rPr>
          <w:rFonts w:ascii="Palatino Linotype" w:hAnsi="Palatino Linotype" w:cs="Arial"/>
          <w:b/>
        </w:rPr>
        <w:t>acudir a un profesionista del derecho</w:t>
      </w:r>
      <w:r w:rsidRPr="00546812">
        <w:rPr>
          <w:rFonts w:ascii="Palatino Linotype" w:hAnsi="Palatino Linotype" w:cs="Arial"/>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6C5B73" w:rsidRPr="00546812" w:rsidRDefault="006C5B73" w:rsidP="006C5B73">
      <w:pPr>
        <w:pStyle w:val="Prrafodelista"/>
        <w:spacing w:before="240" w:line="360" w:lineRule="auto"/>
        <w:ind w:left="360" w:right="49"/>
        <w:jc w:val="both"/>
        <w:rPr>
          <w:rFonts w:ascii="Palatino Linotype" w:hAnsi="Palatino Linotype" w:cs="Arial"/>
        </w:rPr>
      </w:pPr>
    </w:p>
    <w:p w:rsidR="006C5B73" w:rsidRDefault="006C5B73" w:rsidP="006C5B73">
      <w:pPr>
        <w:pStyle w:val="Prrafodelista"/>
        <w:numPr>
          <w:ilvl w:val="0"/>
          <w:numId w:val="1"/>
        </w:numPr>
        <w:spacing w:before="240" w:line="360" w:lineRule="auto"/>
        <w:ind w:right="49"/>
        <w:jc w:val="both"/>
        <w:rPr>
          <w:rFonts w:ascii="Palatino Linotype" w:hAnsi="Palatino Linotype" w:cs="Arial"/>
        </w:rPr>
      </w:pPr>
      <w:r w:rsidRPr="00546812">
        <w:rPr>
          <w:rFonts w:ascii="Palatino Linotype" w:hAnsi="Palatino Linotype" w:cs="Arial"/>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546812">
        <w:rPr>
          <w:rStyle w:val="Refdenotaalpie"/>
          <w:rFonts w:ascii="Palatino Linotype" w:hAnsi="Palatino Linotype" w:cs="Arial"/>
        </w:rPr>
        <w:footnoteReference w:id="1"/>
      </w:r>
      <w:r w:rsidRPr="00546812">
        <w:rPr>
          <w:rFonts w:ascii="Palatino Linotype" w:hAnsi="Palatino Linotype" w:cs="Arial"/>
        </w:rPr>
        <w:t xml:space="preserve"> Según este mismo autor, “…es siempre obligatoria… </w:t>
      </w:r>
      <w:r w:rsidRPr="00546812">
        <w:rPr>
          <w:rFonts w:ascii="Palatino Linotype" w:hAnsi="Palatino Linotype" w:cs="Arial"/>
        </w:rPr>
        <w:lastRenderedPageBreak/>
        <w:t>respecto de los errores o defectos de los conceptos de violación expresados en la demanda, así como los de los agravios formulados en los recursos que el mismo ordenamiento establece”.</w:t>
      </w:r>
      <w:r w:rsidRPr="00546812">
        <w:rPr>
          <w:rStyle w:val="Refdenotaalpie"/>
          <w:rFonts w:ascii="Palatino Linotype" w:hAnsi="Palatino Linotype" w:cs="Arial"/>
        </w:rPr>
        <w:footnoteReference w:id="2"/>
      </w:r>
      <w:r w:rsidRPr="00546812">
        <w:rPr>
          <w:rFonts w:ascii="Palatino Linotype" w:hAnsi="Palatino Linotype" w:cs="Arial"/>
        </w:rPr>
        <w:t xml:space="preserve"> </w:t>
      </w:r>
    </w:p>
    <w:p w:rsidR="006C5B73" w:rsidRPr="00546812" w:rsidRDefault="006C5B73" w:rsidP="006C5B73">
      <w:pPr>
        <w:pStyle w:val="Prrafodelista"/>
        <w:spacing w:before="240" w:line="360" w:lineRule="auto"/>
        <w:ind w:left="360" w:right="49"/>
        <w:jc w:val="both"/>
        <w:rPr>
          <w:rFonts w:ascii="Palatino Linotype" w:hAnsi="Palatino Linotype" w:cs="Arial"/>
        </w:rPr>
      </w:pPr>
    </w:p>
    <w:p w:rsidR="006C5B73" w:rsidRPr="00546812" w:rsidRDefault="006C5B73" w:rsidP="006C5B73">
      <w:pPr>
        <w:pStyle w:val="Prrafodelista"/>
        <w:numPr>
          <w:ilvl w:val="0"/>
          <w:numId w:val="1"/>
        </w:numPr>
        <w:spacing w:before="240" w:line="360" w:lineRule="auto"/>
        <w:ind w:right="49"/>
        <w:jc w:val="both"/>
        <w:rPr>
          <w:rFonts w:ascii="Palatino Linotype" w:hAnsi="Palatino Linotype" w:cs="Arial"/>
        </w:rPr>
      </w:pPr>
      <w:r w:rsidRPr="00546812">
        <w:rPr>
          <w:rFonts w:ascii="Palatino Linotype" w:hAnsi="Palatino Linotype" w:cs="Arial"/>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6C5B73" w:rsidRPr="00546812" w:rsidRDefault="006C5B73" w:rsidP="006C5B73">
      <w:pPr>
        <w:pStyle w:val="Prrafodelista"/>
        <w:rPr>
          <w:rFonts w:ascii="Palatino Linotype" w:hAnsi="Palatino Linotype" w:cs="Arial"/>
        </w:rPr>
      </w:pPr>
    </w:p>
    <w:p w:rsidR="006C5B73" w:rsidRPr="00546812" w:rsidRDefault="006C5B73" w:rsidP="006C5B73">
      <w:pPr>
        <w:pStyle w:val="Prrafodelista"/>
        <w:numPr>
          <w:ilvl w:val="0"/>
          <w:numId w:val="1"/>
        </w:numPr>
        <w:spacing w:before="240" w:line="360" w:lineRule="auto"/>
        <w:ind w:right="49"/>
        <w:jc w:val="both"/>
        <w:rPr>
          <w:rFonts w:ascii="Palatino Linotype" w:hAnsi="Palatino Linotype" w:cs="Arial"/>
        </w:rPr>
      </w:pPr>
      <w:r w:rsidRPr="00546812">
        <w:rPr>
          <w:rFonts w:ascii="Palatino Linotype" w:hAnsi="Palatino Linotype" w:cs="Arial"/>
        </w:rPr>
        <w:t xml:space="preserve">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546812">
        <w:rPr>
          <w:rFonts w:ascii="Palatino Linotype" w:hAnsi="Palatino Linotype" w:cs="Arial"/>
          <w:b/>
        </w:rPr>
        <w:t>garantía de los derechos humanos</w:t>
      </w:r>
      <w:r w:rsidRPr="00546812">
        <w:rPr>
          <w:rFonts w:ascii="Palatino Linotype" w:hAnsi="Palatino Linotype" w:cs="Arial"/>
        </w:rPr>
        <w:t>, de tal forma que cualquier esfuerzo que se haga en el sentido de cumplir con dicho mandato no resulta ocioso ni sobra sino demuestra el grado de compromiso de la autoridad con este aspecto toral de la reforma constitucional del 10 de junio de 2011.</w:t>
      </w:r>
    </w:p>
    <w:p w:rsidR="006C5B73" w:rsidRDefault="006C5B73" w:rsidP="006C5B73">
      <w:pPr>
        <w:pStyle w:val="Prrafodelista"/>
        <w:numPr>
          <w:ilvl w:val="0"/>
          <w:numId w:val="1"/>
        </w:numPr>
        <w:spacing w:before="240" w:line="360" w:lineRule="auto"/>
        <w:ind w:right="49"/>
        <w:jc w:val="both"/>
        <w:rPr>
          <w:rFonts w:ascii="Palatino Linotype" w:hAnsi="Palatino Linotype" w:cs="Arial"/>
        </w:rPr>
      </w:pPr>
      <w:r w:rsidRPr="00546812">
        <w:rPr>
          <w:rFonts w:ascii="Palatino Linotype" w:hAnsi="Palatino Linotype" w:cs="Arial"/>
        </w:rPr>
        <w:lastRenderedPageBreak/>
        <w:t>En este sentido el Dr. Miguel Carbonell ha señalado que:</w:t>
      </w:r>
    </w:p>
    <w:p w:rsidR="00800DB9" w:rsidRPr="00546812" w:rsidRDefault="00800DB9" w:rsidP="00800DB9">
      <w:pPr>
        <w:pStyle w:val="Prrafodelista"/>
        <w:spacing w:before="240" w:line="360" w:lineRule="auto"/>
        <w:ind w:left="360" w:right="49"/>
        <w:jc w:val="both"/>
        <w:rPr>
          <w:rFonts w:ascii="Palatino Linotype" w:hAnsi="Palatino Linotype" w:cs="Arial"/>
        </w:rPr>
      </w:pPr>
    </w:p>
    <w:p w:rsidR="006C5B73" w:rsidRDefault="006C5B73" w:rsidP="006C5B73">
      <w:pPr>
        <w:pStyle w:val="Prrafodelista"/>
        <w:spacing w:line="360" w:lineRule="auto"/>
        <w:ind w:left="709" w:right="474"/>
        <w:jc w:val="both"/>
        <w:rPr>
          <w:rFonts w:ascii="Palatino Linotype" w:hAnsi="Palatino Linotype" w:cs="Arial"/>
        </w:rPr>
      </w:pPr>
      <w:r w:rsidRPr="00546812">
        <w:rPr>
          <w:rFonts w:ascii="Palatino Linotype" w:hAnsi="Palatino Linotype" w:cs="Arial"/>
        </w:rPr>
        <w:t xml:space="preserve">“Queda claro, en consecuencia, que las obligaciones de promoción, respeto, protección y garantía de los derechos corren a cargo de todos los poderes, incluso </w:t>
      </w:r>
      <w:r w:rsidRPr="00546812">
        <w:rPr>
          <w:rFonts w:ascii="Palatino Linotype" w:hAnsi="Palatino Linotype" w:cs="Arial"/>
          <w:b/>
        </w:rPr>
        <w:t>considerando que algún nivel de gobierno tenga obligaciones reforzadas hacia ciertos derechos.</w:t>
      </w:r>
      <w:r w:rsidRPr="00546812">
        <w:rPr>
          <w:rFonts w:ascii="Palatino Linotype" w:hAnsi="Palatino Linotype" w:cs="Arial"/>
        </w:rPr>
        <w:t xml:space="preserve"> A partir de tales deberes generales, podemos afirmar que las autoridades de todos los niveles de gobierno también tienen la obligación positiva de </w:t>
      </w:r>
      <w:r w:rsidRPr="00546812">
        <w:rPr>
          <w:rFonts w:ascii="Palatino Linotype" w:hAnsi="Palatino Linotype" w:cs="Arial"/>
          <w:b/>
        </w:rPr>
        <w:t>tomar todas las medidas que sean pertinentes para tutelar y hacer eficaz un derecho</w:t>
      </w:r>
      <w:r w:rsidRPr="00546812">
        <w:rPr>
          <w:rFonts w:ascii="Palatino Linotype" w:hAnsi="Palatino Linotype" w:cs="Arial"/>
        </w:rPr>
        <w:t>”.</w:t>
      </w:r>
      <w:r w:rsidRPr="00546812">
        <w:rPr>
          <w:rStyle w:val="Refdenotaalpie"/>
          <w:rFonts w:ascii="Palatino Linotype" w:hAnsi="Palatino Linotype" w:cs="Arial"/>
        </w:rPr>
        <w:footnoteReference w:id="3"/>
      </w:r>
    </w:p>
    <w:p w:rsidR="006C5B73" w:rsidRPr="00546812" w:rsidRDefault="006C5B73" w:rsidP="006C5B73">
      <w:pPr>
        <w:pStyle w:val="Prrafodelista"/>
        <w:spacing w:line="360" w:lineRule="auto"/>
        <w:ind w:left="709" w:right="474"/>
        <w:jc w:val="both"/>
        <w:rPr>
          <w:rFonts w:ascii="Palatino Linotype" w:hAnsi="Palatino Linotype" w:cs="Arial"/>
        </w:rPr>
      </w:pPr>
    </w:p>
    <w:p w:rsidR="006C5B73" w:rsidRPr="00546812" w:rsidRDefault="006C5B73" w:rsidP="006C5B73">
      <w:pPr>
        <w:pStyle w:val="Prrafodelista"/>
        <w:numPr>
          <w:ilvl w:val="0"/>
          <w:numId w:val="1"/>
        </w:numPr>
        <w:spacing w:before="240" w:line="360" w:lineRule="auto"/>
        <w:ind w:right="49"/>
        <w:jc w:val="both"/>
        <w:rPr>
          <w:rFonts w:ascii="Palatino Linotype" w:hAnsi="Palatino Linotype" w:cs="Arial"/>
        </w:rPr>
      </w:pPr>
      <w:r w:rsidRPr="00546812">
        <w:rPr>
          <w:rFonts w:ascii="Palatino Linotype" w:hAnsi="Palatino Linotype" w:cs="Arial"/>
        </w:rPr>
        <w:t xml:space="preserve"> Por lo que restringir el derecho de acceso a la información pública del particular</w:t>
      </w:r>
      <w:r w:rsidRPr="00546812">
        <w:rPr>
          <w:rFonts w:ascii="Palatino Linotype" w:hAnsi="Palatino Linotype" w:cs="Arial"/>
          <w:b/>
        </w:rPr>
        <w:t xml:space="preserve"> </w:t>
      </w:r>
      <w:r w:rsidRPr="00546812">
        <w:rPr>
          <w:rFonts w:ascii="Palatino Linotype" w:hAnsi="Palatino Linotype" w:cs="Arial"/>
        </w:rPr>
        <w:t xml:space="preserve">suponiendo en el peor de los casos, que en efecto, no se hubiera ordenado </w:t>
      </w:r>
      <w:r>
        <w:rPr>
          <w:rFonts w:ascii="Palatino Linotype" w:hAnsi="Palatino Linotype" w:cs="Arial"/>
        </w:rPr>
        <w:t xml:space="preserve">el acuerdo de clasificación </w:t>
      </w:r>
      <w:r w:rsidRPr="00546812">
        <w:rPr>
          <w:rFonts w:ascii="Palatino Linotype" w:hAnsi="Palatino Linotype" w:cs="Arial"/>
        </w:rPr>
        <w:t>por no impugnar la falta de</w:t>
      </w:r>
      <w:r>
        <w:rPr>
          <w:rFonts w:ascii="Palatino Linotype" w:hAnsi="Palatino Linotype" w:cs="Arial"/>
        </w:rPr>
        <w:t xml:space="preserve"> atención de un punto en específico solicitado</w:t>
      </w:r>
      <w:r w:rsidRPr="00546812">
        <w:rPr>
          <w:rFonts w:ascii="Palatino Linotype" w:hAnsi="Palatino Linotype" w:cs="Arial"/>
        </w:rPr>
        <w:t>, debilita la efectividad de esta garantía al hacerla depender de un hecho desconocido y, por lo tanto de dudosa acreditación, además que se insiste fue en todo momento innecesario señalar el argumento de actos consentidos.</w:t>
      </w:r>
    </w:p>
    <w:p w:rsidR="006C5B73" w:rsidRPr="00546812" w:rsidRDefault="006C5B73" w:rsidP="006C5B73">
      <w:pPr>
        <w:pStyle w:val="Prrafodelista"/>
        <w:spacing w:before="240" w:line="360" w:lineRule="auto"/>
        <w:ind w:left="360" w:right="49"/>
        <w:jc w:val="both"/>
        <w:rPr>
          <w:rFonts w:ascii="Palatino Linotype" w:hAnsi="Palatino Linotype" w:cs="Arial"/>
        </w:rPr>
      </w:pPr>
    </w:p>
    <w:p w:rsidR="006C5B73" w:rsidRDefault="006C5B73" w:rsidP="006C5B73">
      <w:pPr>
        <w:pStyle w:val="Prrafodelista"/>
        <w:numPr>
          <w:ilvl w:val="0"/>
          <w:numId w:val="1"/>
        </w:numPr>
        <w:spacing w:before="240" w:line="360" w:lineRule="auto"/>
        <w:ind w:right="49"/>
        <w:jc w:val="both"/>
        <w:rPr>
          <w:rFonts w:ascii="Palatino Linotype" w:hAnsi="Palatino Linotype" w:cs="Arial"/>
        </w:rPr>
      </w:pPr>
      <w:r w:rsidRPr="00546812">
        <w:rPr>
          <w:rFonts w:ascii="Palatino Linotype" w:hAnsi="Palatino Linotype" w:cs="Arial"/>
        </w:rPr>
        <w:t xml:space="preserve">Enfrentar este silencio  u omisión de los particulares a inconformarse por algún punto o requerimiento de origen solicitado, cuando es evidente que no le fue </w:t>
      </w:r>
      <w:r w:rsidRPr="00546812">
        <w:rPr>
          <w:rFonts w:ascii="Palatino Linotype" w:hAnsi="Palatino Linotype" w:cs="Arial"/>
        </w:rPr>
        <w:lastRenderedPageBreak/>
        <w:t>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6C5B73" w:rsidRPr="00546812" w:rsidRDefault="006C5B73" w:rsidP="006C5B73">
      <w:pPr>
        <w:pStyle w:val="Prrafodelista"/>
        <w:spacing w:before="240" w:line="360" w:lineRule="auto"/>
        <w:ind w:left="360" w:right="49"/>
        <w:jc w:val="both"/>
        <w:rPr>
          <w:rFonts w:ascii="Palatino Linotype" w:hAnsi="Palatino Linotype" w:cs="Arial"/>
        </w:rPr>
      </w:pPr>
    </w:p>
    <w:p w:rsidR="006C5B73" w:rsidRPr="00546812" w:rsidRDefault="006C5B73" w:rsidP="006C5B73">
      <w:pPr>
        <w:pStyle w:val="Prrafodelista"/>
        <w:numPr>
          <w:ilvl w:val="0"/>
          <w:numId w:val="1"/>
        </w:numPr>
        <w:spacing w:before="240" w:line="360" w:lineRule="auto"/>
        <w:ind w:right="49"/>
        <w:jc w:val="both"/>
        <w:rPr>
          <w:rFonts w:ascii="Palatino Linotype" w:hAnsi="Palatino Linotype" w:cs="Arial"/>
        </w:rPr>
      </w:pPr>
      <w:r w:rsidRPr="00546812">
        <w:rPr>
          <w:rFonts w:ascii="Palatino Linotype" w:hAnsi="Palatino Linotype" w:cs="Arial"/>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546812">
        <w:rPr>
          <w:rStyle w:val="Refdenotaalpie"/>
          <w:rFonts w:ascii="Palatino Linotype" w:hAnsi="Palatino Linotype" w:cs="Arial"/>
        </w:rPr>
        <w:footnoteReference w:id="4"/>
      </w:r>
      <w:r w:rsidRPr="00546812">
        <w:rPr>
          <w:rFonts w:ascii="Palatino Linotype" w:hAnsi="Palatino Linotype" w:cs="Arial"/>
        </w:rPr>
        <w:t xml:space="preserve"> y no puede existir validez en la aplicación de un criterio que propicia una riesgosa afectación al derecho de acceso a la información.</w:t>
      </w:r>
    </w:p>
    <w:p w:rsidR="006C5B73" w:rsidRPr="00546812" w:rsidRDefault="006C5B73" w:rsidP="006C5B73">
      <w:pPr>
        <w:pStyle w:val="Prrafodelista"/>
        <w:rPr>
          <w:rFonts w:ascii="Palatino Linotype" w:hAnsi="Palatino Linotype" w:cs="Arial"/>
        </w:rPr>
      </w:pPr>
    </w:p>
    <w:p w:rsidR="006C5B73" w:rsidRPr="00546812" w:rsidRDefault="006C5B73" w:rsidP="006C5B73">
      <w:pPr>
        <w:pStyle w:val="Prrafodelista"/>
        <w:numPr>
          <w:ilvl w:val="0"/>
          <w:numId w:val="1"/>
        </w:numPr>
        <w:spacing w:before="240" w:line="360" w:lineRule="auto"/>
        <w:ind w:right="49"/>
        <w:jc w:val="both"/>
        <w:rPr>
          <w:rFonts w:ascii="Palatino Linotype" w:hAnsi="Palatino Linotype" w:cs="Arial"/>
        </w:rPr>
      </w:pPr>
      <w:r w:rsidRPr="00546812">
        <w:rPr>
          <w:rFonts w:ascii="Palatino Linotype" w:hAnsi="Palatino Linotype" w:cs="Arial"/>
        </w:rPr>
        <w:lastRenderedPageBreak/>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546812">
        <w:rPr>
          <w:rFonts w:ascii="Palatino Linotype" w:hAnsi="Palatino Linotype" w:cs="Arial"/>
          <w:b/>
        </w:rPr>
        <w:t>el deber que tienen los órganos del Estado, dentro del margen de sus atribuciones, de prevenir violaciones a los derechos fundamentales,</w:t>
      </w:r>
      <w:r w:rsidRPr="00546812">
        <w:rPr>
          <w:rFonts w:ascii="Palatino Linotype" w:hAnsi="Palatino Linotype" w:cs="Arial"/>
        </w:rPr>
        <w:t xml:space="preserve"> ya sea que provengan de una autoridad o de algún particular y, por ello, </w:t>
      </w:r>
      <w:r w:rsidRPr="00546812">
        <w:rPr>
          <w:rFonts w:ascii="Palatino Linotype" w:hAnsi="Palatino Linotype" w:cs="Arial"/>
          <w:b/>
        </w:rPr>
        <w:t>debe contarse</w:t>
      </w:r>
      <w:r w:rsidRPr="00546812">
        <w:rPr>
          <w:rFonts w:ascii="Palatino Linotype" w:hAnsi="Palatino Linotype" w:cs="Arial"/>
        </w:rPr>
        <w:t xml:space="preserve"> tanto </w:t>
      </w:r>
      <w:r w:rsidRPr="00546812">
        <w:rPr>
          <w:rFonts w:ascii="Palatino Linotype" w:hAnsi="Palatino Linotype" w:cs="Arial"/>
          <w:b/>
        </w:rPr>
        <w:t>con mecanismos</w:t>
      </w:r>
      <w:r w:rsidRPr="00546812">
        <w:rPr>
          <w:rFonts w:ascii="Palatino Linotype" w:hAnsi="Palatino Linotype" w:cs="Arial"/>
        </w:rPr>
        <w:t xml:space="preserve"> de vigilancia como </w:t>
      </w:r>
      <w:r w:rsidRPr="00546812">
        <w:rPr>
          <w:rFonts w:ascii="Palatino Linotype" w:hAnsi="Palatino Linotype" w:cs="Arial"/>
          <w:b/>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546812">
        <w:rPr>
          <w:rFonts w:ascii="Palatino Linotype" w:hAnsi="Palatino Linotype" w:cs="Arial"/>
        </w:rPr>
        <w:t xml:space="preserve"> como de otros particulares, este fin se logra, en principio, mediante la actividad legislativa y de vigilancia en su cumplimiento y, si esto es insuficiente, mediante las acciones necesarias para impedir la consumación de </w:t>
      </w:r>
      <w:r w:rsidRPr="00546812">
        <w:rPr>
          <w:rFonts w:ascii="Palatino Linotype" w:hAnsi="Palatino Linotype" w:cs="Arial"/>
        </w:rPr>
        <w:lastRenderedPageBreak/>
        <w:t>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6C5B73" w:rsidRPr="00546812" w:rsidRDefault="006C5B73" w:rsidP="006C5B73">
      <w:pPr>
        <w:pStyle w:val="Prrafodelista"/>
        <w:spacing w:before="240" w:line="360" w:lineRule="auto"/>
        <w:ind w:left="360" w:right="49"/>
        <w:jc w:val="both"/>
        <w:rPr>
          <w:rFonts w:ascii="Palatino Linotype" w:hAnsi="Palatino Linotype" w:cs="Arial"/>
        </w:rPr>
      </w:pPr>
    </w:p>
    <w:p w:rsidR="006C5B73" w:rsidRDefault="006C5B73" w:rsidP="006C5B73">
      <w:pPr>
        <w:pStyle w:val="Prrafodelista"/>
        <w:numPr>
          <w:ilvl w:val="0"/>
          <w:numId w:val="1"/>
        </w:numPr>
        <w:spacing w:before="240" w:line="360" w:lineRule="auto"/>
        <w:ind w:right="49"/>
        <w:jc w:val="both"/>
        <w:rPr>
          <w:rFonts w:ascii="Palatino Linotype" w:hAnsi="Palatino Linotype" w:cs="Arial"/>
        </w:rPr>
      </w:pPr>
      <w:r w:rsidRPr="00546812">
        <w:rPr>
          <w:rFonts w:ascii="Palatino Linotype" w:hAnsi="Palatino Linotype" w:cs="Arial"/>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546812">
        <w:rPr>
          <w:rFonts w:ascii="Palatino Linotype" w:hAnsi="Palatino Linotype" w:cs="Arial"/>
          <w:b/>
        </w:rPr>
        <w:t>SUJETOS OBLIGADOS</w:t>
      </w:r>
      <w:r w:rsidRPr="00546812">
        <w:rPr>
          <w:rFonts w:ascii="Palatino Linotype" w:hAnsi="Palatino Linotype" w:cs="Arial"/>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800DB9" w:rsidRPr="00800DB9" w:rsidRDefault="00800DB9" w:rsidP="00800DB9">
      <w:pPr>
        <w:pStyle w:val="Prrafodelista"/>
        <w:rPr>
          <w:rFonts w:ascii="Palatino Linotype" w:hAnsi="Palatino Linotype" w:cs="Arial"/>
        </w:rPr>
      </w:pPr>
    </w:p>
    <w:p w:rsidR="006C5B73" w:rsidRPr="00546812" w:rsidRDefault="006C5B73" w:rsidP="006C5B73">
      <w:pPr>
        <w:pStyle w:val="Prrafodelista"/>
        <w:numPr>
          <w:ilvl w:val="0"/>
          <w:numId w:val="1"/>
        </w:numPr>
        <w:spacing w:before="240" w:line="360" w:lineRule="auto"/>
        <w:ind w:right="49"/>
        <w:jc w:val="both"/>
        <w:rPr>
          <w:rFonts w:ascii="Palatino Linotype" w:hAnsi="Palatino Linotype" w:cs="Arial"/>
        </w:rPr>
      </w:pPr>
      <w:r w:rsidRPr="00546812">
        <w:rPr>
          <w:rFonts w:ascii="Palatino Linotype" w:hAnsi="Palatino Linotype" w:cs="Arial"/>
        </w:rPr>
        <w:t xml:space="preserve">Pero además, la figura de la suplencia de la queja es central para apreciar la verdadera fuerza de los derechos humanos, entre ellos el de acceso a la </w:t>
      </w:r>
      <w:r w:rsidRPr="00546812">
        <w:rPr>
          <w:rFonts w:ascii="Palatino Linotype" w:hAnsi="Palatino Linotype" w:cs="Arial"/>
        </w:rPr>
        <w:lastRenderedPageBreak/>
        <w:t>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6C5B73" w:rsidRPr="00072966" w:rsidRDefault="006C5B73" w:rsidP="006C5B73">
      <w:pPr>
        <w:pStyle w:val="Prrafodelista"/>
        <w:spacing w:line="360" w:lineRule="auto"/>
        <w:ind w:left="284"/>
        <w:jc w:val="both"/>
        <w:rPr>
          <w:rFonts w:ascii="Palatino Linotype" w:hAnsi="Palatino Linotype" w:cs="Arial"/>
        </w:rPr>
      </w:pPr>
    </w:p>
    <w:p w:rsidR="006C5B73" w:rsidRPr="00072966" w:rsidRDefault="006C5B73" w:rsidP="006C5B73">
      <w:pPr>
        <w:spacing w:line="360" w:lineRule="auto"/>
        <w:ind w:left="1134" w:right="618"/>
        <w:jc w:val="both"/>
        <w:rPr>
          <w:rFonts w:ascii="Palatino Linotype" w:hAnsi="Palatino Linotype" w:cs="Arial"/>
          <w:i/>
        </w:rPr>
      </w:pPr>
      <w:r w:rsidRPr="00072966">
        <w:rPr>
          <w:rFonts w:ascii="Palatino Linotype" w:hAnsi="Palatino Linotype" w:cs="Arial"/>
          <w:i/>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072966">
        <w:rPr>
          <w:rStyle w:val="Refdenotaalpie"/>
          <w:rFonts w:ascii="Palatino Linotype" w:hAnsi="Palatino Linotype" w:cs="Arial"/>
          <w:i/>
        </w:rPr>
        <w:footnoteReference w:id="5"/>
      </w:r>
    </w:p>
    <w:p w:rsidR="006C5B73" w:rsidRPr="00072966" w:rsidRDefault="006C5B73" w:rsidP="006C5B73">
      <w:pPr>
        <w:pStyle w:val="Prrafodelista"/>
        <w:numPr>
          <w:ilvl w:val="0"/>
          <w:numId w:val="1"/>
        </w:numPr>
        <w:spacing w:before="240" w:line="360" w:lineRule="auto"/>
        <w:ind w:right="49"/>
        <w:jc w:val="both"/>
        <w:rPr>
          <w:rFonts w:ascii="Palatino Linotype" w:hAnsi="Palatino Linotype" w:cs="Arial"/>
        </w:rPr>
      </w:pPr>
      <w:r w:rsidRPr="00072966">
        <w:rPr>
          <w:rFonts w:ascii="Palatino Linotype" w:hAnsi="Palatino Linotype" w:cs="Arial"/>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6C5B73" w:rsidRPr="00072966" w:rsidRDefault="006C5B73" w:rsidP="006C5B73">
      <w:pPr>
        <w:pStyle w:val="Prrafodelista"/>
        <w:spacing w:line="360" w:lineRule="auto"/>
        <w:ind w:left="426"/>
        <w:jc w:val="both"/>
        <w:rPr>
          <w:rFonts w:ascii="Palatino Linotype" w:hAnsi="Palatino Linotype" w:cs="Arial"/>
        </w:rPr>
      </w:pPr>
    </w:p>
    <w:p w:rsidR="006C5B73" w:rsidRDefault="006C5B73" w:rsidP="006C5B73">
      <w:pPr>
        <w:pStyle w:val="Prrafodelista"/>
        <w:numPr>
          <w:ilvl w:val="0"/>
          <w:numId w:val="1"/>
        </w:numPr>
        <w:spacing w:before="240" w:line="360" w:lineRule="auto"/>
        <w:ind w:right="49"/>
        <w:jc w:val="both"/>
        <w:rPr>
          <w:rFonts w:ascii="Palatino Linotype" w:hAnsi="Palatino Linotype" w:cs="Arial"/>
        </w:rPr>
      </w:pPr>
      <w:r w:rsidRPr="00072966">
        <w:rPr>
          <w:rFonts w:ascii="Palatino Linotype" w:hAnsi="Palatino Linotype" w:cs="Arial"/>
        </w:rPr>
        <w:lastRenderedPageBreak/>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w:t>
      </w:r>
    </w:p>
    <w:p w:rsidR="006C5B73" w:rsidRPr="00DE24C8" w:rsidRDefault="006C5B73" w:rsidP="006C5B73">
      <w:pPr>
        <w:pStyle w:val="Prrafodelista"/>
        <w:spacing w:before="240" w:line="360" w:lineRule="auto"/>
        <w:ind w:left="360" w:right="49"/>
        <w:jc w:val="both"/>
        <w:rPr>
          <w:rFonts w:ascii="Palatino Linotype" w:hAnsi="Palatino Linotype" w:cs="Arial"/>
        </w:rPr>
      </w:pPr>
    </w:p>
    <w:p w:rsidR="006C5B73" w:rsidRDefault="006C5B73" w:rsidP="006C5B73">
      <w:pPr>
        <w:pStyle w:val="Prrafodelista"/>
        <w:numPr>
          <w:ilvl w:val="0"/>
          <w:numId w:val="1"/>
        </w:numPr>
        <w:spacing w:before="240" w:line="360" w:lineRule="auto"/>
        <w:ind w:right="49"/>
        <w:jc w:val="both"/>
        <w:rPr>
          <w:rFonts w:ascii="Palatino Linotype" w:hAnsi="Palatino Linotype" w:cs="Arial"/>
        </w:rPr>
      </w:pPr>
      <w:r w:rsidRPr="00072966">
        <w:rPr>
          <w:rFonts w:ascii="Palatino Linotype" w:hAnsi="Palatino Linotype" w:cs="Arial"/>
        </w:rPr>
        <w:t>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6C5B73" w:rsidRDefault="006C5B73" w:rsidP="008A2562">
      <w:pPr>
        <w:spacing w:line="360" w:lineRule="auto"/>
        <w:jc w:val="both"/>
        <w:rPr>
          <w:rFonts w:ascii="Palatino Linotype" w:hAnsi="Palatino Linotype" w:cs="Arial"/>
          <w:lang w:val="es-ES"/>
        </w:rPr>
      </w:pPr>
    </w:p>
    <w:p w:rsidR="008A2562" w:rsidRPr="002A0184" w:rsidRDefault="008A2562" w:rsidP="00800DB9">
      <w:pPr>
        <w:jc w:val="both"/>
        <w:rPr>
          <w:rFonts w:ascii="Palatino Linotype" w:hAnsi="Palatino Linotype" w:cs="Arial"/>
          <w:lang w:val="es-ES"/>
        </w:rPr>
      </w:pPr>
    </w:p>
    <w:p w:rsidR="008A2562" w:rsidRPr="002A0184" w:rsidRDefault="008A2562" w:rsidP="00800DB9">
      <w:pPr>
        <w:jc w:val="center"/>
        <w:rPr>
          <w:rFonts w:ascii="Palatino Linotype" w:eastAsia="Calibri" w:hAnsi="Palatino Linotype" w:cs="Arial"/>
          <w:b/>
          <w:color w:val="000000" w:themeColor="text1"/>
        </w:rPr>
      </w:pPr>
      <w:r w:rsidRPr="002A0184">
        <w:rPr>
          <w:rFonts w:ascii="Palatino Linotype" w:eastAsia="Calibri" w:hAnsi="Palatino Linotype" w:cs="Arial"/>
          <w:b/>
          <w:color w:val="000000" w:themeColor="text1"/>
        </w:rPr>
        <w:t>JOSÉ GUADALUPE LUNA HERNÁNDEZ</w:t>
      </w:r>
    </w:p>
    <w:p w:rsidR="008A2562" w:rsidRDefault="008A2562" w:rsidP="00800DB9">
      <w:pPr>
        <w:jc w:val="center"/>
        <w:rPr>
          <w:rFonts w:ascii="Palatino Linotype" w:eastAsia="Calibri" w:hAnsi="Palatino Linotype" w:cs="Arial"/>
          <w:b/>
          <w:color w:val="000000" w:themeColor="text1"/>
        </w:rPr>
      </w:pPr>
      <w:r w:rsidRPr="002A0184">
        <w:rPr>
          <w:rFonts w:ascii="Palatino Linotype" w:eastAsia="Calibri" w:hAnsi="Palatino Linotype" w:cs="Arial"/>
          <w:b/>
          <w:color w:val="000000" w:themeColor="text1"/>
        </w:rPr>
        <w:t>COMISIONADO</w:t>
      </w:r>
    </w:p>
    <w:p w:rsidR="00800DB9" w:rsidRPr="002A0184" w:rsidRDefault="00800DB9" w:rsidP="00800DB9">
      <w:pPr>
        <w:jc w:val="center"/>
        <w:rPr>
          <w:rFonts w:ascii="Palatino Linotype" w:eastAsia="Calibri" w:hAnsi="Palatino Linotype" w:cs="Arial"/>
          <w:b/>
          <w:color w:val="000000" w:themeColor="text1"/>
        </w:rPr>
      </w:pPr>
    </w:p>
    <w:p w:rsidR="00DA5104" w:rsidRDefault="00DA5104" w:rsidP="00800DB9"/>
    <w:p w:rsidR="00E940EB" w:rsidRPr="008A2562" w:rsidRDefault="00C1480F" w:rsidP="00800DB9">
      <w:r w:rsidRPr="008A2562">
        <w:t xml:space="preserve"> </w:t>
      </w:r>
      <w:r w:rsidR="008A2562">
        <w:t>JGLH</w:t>
      </w:r>
      <w:r w:rsidR="000726A9">
        <w:t>/MAG</w:t>
      </w:r>
    </w:p>
    <w:sectPr w:rsidR="00E940EB" w:rsidRPr="008A2562" w:rsidSect="00AD4277">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6D9" w:rsidRDefault="003E46D9" w:rsidP="00DC559A">
      <w:r>
        <w:separator/>
      </w:r>
    </w:p>
  </w:endnote>
  <w:endnote w:type="continuationSeparator" w:id="0">
    <w:p w:rsidR="003E46D9" w:rsidRDefault="003E46D9" w:rsidP="00DC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5158"/>
      <w:docPartObj>
        <w:docPartGallery w:val="Page Numbers (Bottom of Page)"/>
        <w:docPartUnique/>
      </w:docPartObj>
    </w:sdtPr>
    <w:sdtEndPr/>
    <w:sdtContent>
      <w:sdt>
        <w:sdtPr>
          <w:id w:val="-1769616900"/>
          <w:docPartObj>
            <w:docPartGallery w:val="Page Numbers (Top of Page)"/>
            <w:docPartUnique/>
          </w:docPartObj>
        </w:sdtPr>
        <w:sdtEndPr/>
        <w:sdtContent>
          <w:p w:rsidR="00AD4277" w:rsidRDefault="00AD4277">
            <w:pPr>
              <w:pStyle w:val="Piedepgina"/>
              <w:jc w:val="right"/>
            </w:pPr>
            <w:r>
              <w:rPr>
                <w:lang w:val="es-ES"/>
              </w:rPr>
              <w:t xml:space="preserve">Página </w:t>
            </w:r>
            <w:r>
              <w:rPr>
                <w:b/>
                <w:bCs/>
              </w:rPr>
              <w:fldChar w:fldCharType="begin"/>
            </w:r>
            <w:r>
              <w:rPr>
                <w:b/>
                <w:bCs/>
              </w:rPr>
              <w:instrText>PAGE</w:instrText>
            </w:r>
            <w:r>
              <w:rPr>
                <w:b/>
                <w:bCs/>
              </w:rPr>
              <w:fldChar w:fldCharType="separate"/>
            </w:r>
            <w:r w:rsidR="00470DB9">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70DB9">
              <w:rPr>
                <w:b/>
                <w:bCs/>
                <w:noProof/>
              </w:rPr>
              <w:t>14</w:t>
            </w:r>
            <w:r>
              <w:rPr>
                <w:b/>
                <w:bCs/>
              </w:rPr>
              <w:fldChar w:fldCharType="end"/>
            </w:r>
          </w:p>
        </w:sdtContent>
      </w:sdt>
    </w:sdtContent>
  </w:sdt>
  <w:p w:rsidR="00CD5D3B" w:rsidRDefault="00CD5D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6D9" w:rsidRDefault="003E46D9" w:rsidP="00DC559A">
      <w:r>
        <w:separator/>
      </w:r>
    </w:p>
  </w:footnote>
  <w:footnote w:type="continuationSeparator" w:id="0">
    <w:p w:rsidR="003E46D9" w:rsidRDefault="003E46D9" w:rsidP="00DC559A">
      <w:r>
        <w:continuationSeparator/>
      </w:r>
    </w:p>
  </w:footnote>
  <w:footnote w:id="1">
    <w:p w:rsidR="006C5B73" w:rsidRDefault="006C5B73" w:rsidP="006C5B73">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6C5B73" w:rsidRDefault="006C5B73" w:rsidP="006C5B73">
      <w:pPr>
        <w:pStyle w:val="Textonotapie"/>
      </w:pPr>
      <w:r>
        <w:rPr>
          <w:rStyle w:val="Refdenotaalpie"/>
        </w:rPr>
        <w:footnoteRef/>
      </w:r>
      <w:r>
        <w:t xml:space="preserve"> </w:t>
      </w:r>
      <w:r w:rsidRPr="00C775C0">
        <w:rPr>
          <w:i/>
        </w:rPr>
        <w:t>Ibídem</w:t>
      </w:r>
      <w:r>
        <w:t>. Pág. 3594.</w:t>
      </w:r>
    </w:p>
  </w:footnote>
  <w:footnote w:id="3">
    <w:p w:rsidR="006C5B73" w:rsidRDefault="006C5B73" w:rsidP="006C5B73">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6C5B73" w:rsidRDefault="006C5B73" w:rsidP="006C5B73">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6C5B73" w:rsidRDefault="006C5B73" w:rsidP="006C5B73">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3E46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7" o:spid="_x0000_s2049" type="#_x0000_t136" style="position:absolute;margin-left:0;margin-top:0;width:566.4pt;height:56.6pt;rotation:315;z-index:-251659264;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3E46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8" o:spid="_x0000_s2050" type="#_x0000_t136" style="position:absolute;margin-left:0;margin-top:0;width:566.4pt;height:56.6pt;rotation:315;z-index:-251658240;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p w:rsidR="00CD5D3B" w:rsidRDefault="00CD5D3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3E46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6" o:spid="_x0000_s2051" type="#_x0000_t136" style="position:absolute;margin-left:0;margin-top:0;width:566.4pt;height:56.6pt;rotation:315;z-index:-251657216;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107F3B"/>
    <w:multiLevelType w:val="hybridMultilevel"/>
    <w:tmpl w:val="30F812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5813181"/>
    <w:multiLevelType w:val="hybridMultilevel"/>
    <w:tmpl w:val="AC7A49E8"/>
    <w:lvl w:ilvl="0" w:tplc="172097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1A2657CE"/>
    <w:multiLevelType w:val="hybridMultilevel"/>
    <w:tmpl w:val="357E7638"/>
    <w:lvl w:ilvl="0" w:tplc="B7E079E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FE138AE"/>
    <w:multiLevelType w:val="hybridMultilevel"/>
    <w:tmpl w:val="7210662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8">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nsid w:val="6909553B"/>
    <w:multiLevelType w:val="hybridMultilevel"/>
    <w:tmpl w:val="0ACCAB1A"/>
    <w:lvl w:ilvl="0" w:tplc="62DCEB4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2">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1F175C4"/>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DA216E9"/>
    <w:multiLevelType w:val="hybridMultilevel"/>
    <w:tmpl w:val="4CAAA32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6"/>
  </w:num>
  <w:num w:numId="2">
    <w:abstractNumId w:val="0"/>
  </w:num>
  <w:num w:numId="3">
    <w:abstractNumId w:val="18"/>
  </w:num>
  <w:num w:numId="4">
    <w:abstractNumId w:val="10"/>
  </w:num>
  <w:num w:numId="5">
    <w:abstractNumId w:val="23"/>
  </w:num>
  <w:num w:numId="6">
    <w:abstractNumId w:val="11"/>
  </w:num>
  <w:num w:numId="7">
    <w:abstractNumId w:val="22"/>
  </w:num>
  <w:num w:numId="8">
    <w:abstractNumId w:val="13"/>
  </w:num>
  <w:num w:numId="9">
    <w:abstractNumId w:val="9"/>
  </w:num>
  <w:num w:numId="10">
    <w:abstractNumId w:val="21"/>
  </w:num>
  <w:num w:numId="11">
    <w:abstractNumId w:val="17"/>
  </w:num>
  <w:num w:numId="12">
    <w:abstractNumId w:val="19"/>
  </w:num>
  <w:num w:numId="13">
    <w:abstractNumId w:val="14"/>
  </w:num>
  <w:num w:numId="14">
    <w:abstractNumId w:val="3"/>
  </w:num>
  <w:num w:numId="15">
    <w:abstractNumId w:val="4"/>
  </w:num>
  <w:num w:numId="16">
    <w:abstractNumId w:val="2"/>
  </w:num>
  <w:num w:numId="17">
    <w:abstractNumId w:val="8"/>
  </w:num>
  <w:num w:numId="18">
    <w:abstractNumId w:val="15"/>
  </w:num>
  <w:num w:numId="19">
    <w:abstractNumId w:val="7"/>
  </w:num>
  <w:num w:numId="20">
    <w:abstractNumId w:val="1"/>
  </w:num>
  <w:num w:numId="21">
    <w:abstractNumId w:val="6"/>
  </w:num>
  <w:num w:numId="22">
    <w:abstractNumId w:val="25"/>
  </w:num>
  <w:num w:numId="23">
    <w:abstractNumId w:val="20"/>
  </w:num>
  <w:num w:numId="24">
    <w:abstractNumId w:val="12"/>
  </w:num>
  <w:num w:numId="25">
    <w:abstractNumId w:val="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2F9"/>
    <w:rsid w:val="00026199"/>
    <w:rsid w:val="0002684D"/>
    <w:rsid w:val="000474D8"/>
    <w:rsid w:val="000538F8"/>
    <w:rsid w:val="000726A9"/>
    <w:rsid w:val="00082F5F"/>
    <w:rsid w:val="000A33F9"/>
    <w:rsid w:val="000A436E"/>
    <w:rsid w:val="000C4F36"/>
    <w:rsid w:val="000C6478"/>
    <w:rsid w:val="000C6BD5"/>
    <w:rsid w:val="000E54D5"/>
    <w:rsid w:val="000F4071"/>
    <w:rsid w:val="00112650"/>
    <w:rsid w:val="00127509"/>
    <w:rsid w:val="001305C0"/>
    <w:rsid w:val="00133E75"/>
    <w:rsid w:val="00142D5E"/>
    <w:rsid w:val="00156F43"/>
    <w:rsid w:val="00165DC7"/>
    <w:rsid w:val="00176EF2"/>
    <w:rsid w:val="00196806"/>
    <w:rsid w:val="001A2574"/>
    <w:rsid w:val="001B6EF2"/>
    <w:rsid w:val="001D08EF"/>
    <w:rsid w:val="001D585E"/>
    <w:rsid w:val="001E038F"/>
    <w:rsid w:val="00211220"/>
    <w:rsid w:val="0021504B"/>
    <w:rsid w:val="0022566B"/>
    <w:rsid w:val="0022628C"/>
    <w:rsid w:val="00234970"/>
    <w:rsid w:val="00237B53"/>
    <w:rsid w:val="002948E5"/>
    <w:rsid w:val="002B728E"/>
    <w:rsid w:val="002D65E0"/>
    <w:rsid w:val="002F7919"/>
    <w:rsid w:val="0030112D"/>
    <w:rsid w:val="00303479"/>
    <w:rsid w:val="00305BD6"/>
    <w:rsid w:val="00312935"/>
    <w:rsid w:val="0031663F"/>
    <w:rsid w:val="00317F9B"/>
    <w:rsid w:val="00340794"/>
    <w:rsid w:val="0034151E"/>
    <w:rsid w:val="003546F8"/>
    <w:rsid w:val="0035555A"/>
    <w:rsid w:val="00363C74"/>
    <w:rsid w:val="00371359"/>
    <w:rsid w:val="003846D3"/>
    <w:rsid w:val="00385BD0"/>
    <w:rsid w:val="0038702C"/>
    <w:rsid w:val="0039232D"/>
    <w:rsid w:val="003D62CE"/>
    <w:rsid w:val="003E46D9"/>
    <w:rsid w:val="003F1C1E"/>
    <w:rsid w:val="0040293C"/>
    <w:rsid w:val="00406808"/>
    <w:rsid w:val="00413707"/>
    <w:rsid w:val="004366D0"/>
    <w:rsid w:val="004534AD"/>
    <w:rsid w:val="00454F6C"/>
    <w:rsid w:val="00470DB9"/>
    <w:rsid w:val="004A69D6"/>
    <w:rsid w:val="004B0AAB"/>
    <w:rsid w:val="004C224A"/>
    <w:rsid w:val="004C73FB"/>
    <w:rsid w:val="005041B7"/>
    <w:rsid w:val="0050773D"/>
    <w:rsid w:val="0053752E"/>
    <w:rsid w:val="00546D48"/>
    <w:rsid w:val="005626EA"/>
    <w:rsid w:val="00565883"/>
    <w:rsid w:val="00571F7C"/>
    <w:rsid w:val="00585BED"/>
    <w:rsid w:val="00590176"/>
    <w:rsid w:val="005914EB"/>
    <w:rsid w:val="005A0F99"/>
    <w:rsid w:val="005A4FE3"/>
    <w:rsid w:val="005B1F0E"/>
    <w:rsid w:val="005E26B3"/>
    <w:rsid w:val="005E32F3"/>
    <w:rsid w:val="0060068E"/>
    <w:rsid w:val="0060381D"/>
    <w:rsid w:val="006118A3"/>
    <w:rsid w:val="006C5B73"/>
    <w:rsid w:val="006E20B1"/>
    <w:rsid w:val="006E5018"/>
    <w:rsid w:val="006E7A8B"/>
    <w:rsid w:val="007040A4"/>
    <w:rsid w:val="0071075C"/>
    <w:rsid w:val="007268BB"/>
    <w:rsid w:val="00752D72"/>
    <w:rsid w:val="007568D4"/>
    <w:rsid w:val="00761A92"/>
    <w:rsid w:val="007771A5"/>
    <w:rsid w:val="00796D90"/>
    <w:rsid w:val="007B11B0"/>
    <w:rsid w:val="007C08B6"/>
    <w:rsid w:val="007C7C8A"/>
    <w:rsid w:val="007D5A9C"/>
    <w:rsid w:val="007E0241"/>
    <w:rsid w:val="007E4DC7"/>
    <w:rsid w:val="00800DB9"/>
    <w:rsid w:val="00812CE6"/>
    <w:rsid w:val="00822449"/>
    <w:rsid w:val="00827A65"/>
    <w:rsid w:val="008328F1"/>
    <w:rsid w:val="00835513"/>
    <w:rsid w:val="00835998"/>
    <w:rsid w:val="00836F58"/>
    <w:rsid w:val="00846DEB"/>
    <w:rsid w:val="00852A70"/>
    <w:rsid w:val="0088513A"/>
    <w:rsid w:val="00892C1A"/>
    <w:rsid w:val="00892EB0"/>
    <w:rsid w:val="00896191"/>
    <w:rsid w:val="00897F9E"/>
    <w:rsid w:val="008A2562"/>
    <w:rsid w:val="008C70E5"/>
    <w:rsid w:val="008F6477"/>
    <w:rsid w:val="0090019C"/>
    <w:rsid w:val="00964B55"/>
    <w:rsid w:val="00992F9E"/>
    <w:rsid w:val="009A28D2"/>
    <w:rsid w:val="009A6D3D"/>
    <w:rsid w:val="009B6AAE"/>
    <w:rsid w:val="009C259F"/>
    <w:rsid w:val="009C2B0C"/>
    <w:rsid w:val="009C327F"/>
    <w:rsid w:val="009D37EA"/>
    <w:rsid w:val="00A0454A"/>
    <w:rsid w:val="00A11153"/>
    <w:rsid w:val="00A4060C"/>
    <w:rsid w:val="00A44948"/>
    <w:rsid w:val="00A50DC3"/>
    <w:rsid w:val="00A539E5"/>
    <w:rsid w:val="00A60047"/>
    <w:rsid w:val="00A77973"/>
    <w:rsid w:val="00A87C9D"/>
    <w:rsid w:val="00A947EF"/>
    <w:rsid w:val="00AA45BE"/>
    <w:rsid w:val="00AA54CD"/>
    <w:rsid w:val="00AA6E56"/>
    <w:rsid w:val="00AB4CCD"/>
    <w:rsid w:val="00AC07BB"/>
    <w:rsid w:val="00AC570C"/>
    <w:rsid w:val="00AC6A73"/>
    <w:rsid w:val="00AD4277"/>
    <w:rsid w:val="00AE55C3"/>
    <w:rsid w:val="00B051C5"/>
    <w:rsid w:val="00B35DFF"/>
    <w:rsid w:val="00B43601"/>
    <w:rsid w:val="00B648EF"/>
    <w:rsid w:val="00B72BF7"/>
    <w:rsid w:val="00B9066B"/>
    <w:rsid w:val="00BB0BA5"/>
    <w:rsid w:val="00BC5FB0"/>
    <w:rsid w:val="00BC6DFA"/>
    <w:rsid w:val="00BD2D4B"/>
    <w:rsid w:val="00BD586B"/>
    <w:rsid w:val="00BE421D"/>
    <w:rsid w:val="00C008F7"/>
    <w:rsid w:val="00C01672"/>
    <w:rsid w:val="00C1480F"/>
    <w:rsid w:val="00C230CB"/>
    <w:rsid w:val="00C32923"/>
    <w:rsid w:val="00CD5D3B"/>
    <w:rsid w:val="00CD77B9"/>
    <w:rsid w:val="00CE0497"/>
    <w:rsid w:val="00D12CA6"/>
    <w:rsid w:val="00D4328A"/>
    <w:rsid w:val="00D52AEC"/>
    <w:rsid w:val="00D636BE"/>
    <w:rsid w:val="00D66AA4"/>
    <w:rsid w:val="00D7491C"/>
    <w:rsid w:val="00D91CF3"/>
    <w:rsid w:val="00DA0042"/>
    <w:rsid w:val="00DA5104"/>
    <w:rsid w:val="00DC559A"/>
    <w:rsid w:val="00DC69FA"/>
    <w:rsid w:val="00DF2A07"/>
    <w:rsid w:val="00E045A2"/>
    <w:rsid w:val="00E1204C"/>
    <w:rsid w:val="00E12C67"/>
    <w:rsid w:val="00E16BD8"/>
    <w:rsid w:val="00E2215E"/>
    <w:rsid w:val="00E42C33"/>
    <w:rsid w:val="00E4504F"/>
    <w:rsid w:val="00E45D8A"/>
    <w:rsid w:val="00E52153"/>
    <w:rsid w:val="00E6266F"/>
    <w:rsid w:val="00E70FAF"/>
    <w:rsid w:val="00E73597"/>
    <w:rsid w:val="00E940EB"/>
    <w:rsid w:val="00E96644"/>
    <w:rsid w:val="00E974FA"/>
    <w:rsid w:val="00EA3C9F"/>
    <w:rsid w:val="00ED5C2B"/>
    <w:rsid w:val="00F10373"/>
    <w:rsid w:val="00F36272"/>
    <w:rsid w:val="00F40604"/>
    <w:rsid w:val="00F53C9F"/>
    <w:rsid w:val="00FA4462"/>
    <w:rsid w:val="00FC12A4"/>
    <w:rsid w:val="00FC1C31"/>
    <w:rsid w:val="00FD33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562"/>
    <w:pPr>
      <w:spacing w:after="0" w:line="240" w:lineRule="auto"/>
    </w:pPr>
    <w:rPr>
      <w:sz w:val="24"/>
      <w:szCs w:val="24"/>
      <w:lang w:val="es-ES_tradnl"/>
    </w:rPr>
  </w:style>
  <w:style w:type="paragraph" w:styleId="Ttulo1">
    <w:name w:val="heading 1"/>
    <w:basedOn w:val="Normal"/>
    <w:next w:val="Normal"/>
    <w:link w:val="Ttulo1Car"/>
    <w:uiPriority w:val="9"/>
    <w:qFormat/>
    <w:rsid w:val="00C230C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A4F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305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C559A"/>
  </w:style>
  <w:style w:type="paragraph" w:styleId="Encabezado">
    <w:name w:val="header"/>
    <w:basedOn w:val="Normal"/>
    <w:link w:val="EncabezadoCar"/>
    <w:uiPriority w:val="99"/>
    <w:unhideWhenUsed/>
    <w:rsid w:val="00DC559A"/>
    <w:pPr>
      <w:tabs>
        <w:tab w:val="center" w:pos="4419"/>
        <w:tab w:val="right" w:pos="8838"/>
      </w:tabs>
    </w:pPr>
  </w:style>
  <w:style w:type="character" w:customStyle="1" w:styleId="EncabezadoCar">
    <w:name w:val="Encabezado Car"/>
    <w:basedOn w:val="Fuentedeprrafopredeter"/>
    <w:link w:val="Encabezado"/>
    <w:uiPriority w:val="99"/>
    <w:rsid w:val="00DC559A"/>
  </w:style>
  <w:style w:type="paragraph" w:styleId="Sinespaciado">
    <w:name w:val="No Spacing"/>
    <w:aliases w:val="Francesa"/>
    <w:link w:val="SinespaciadoCar"/>
    <w:uiPriority w:val="1"/>
    <w:qFormat/>
    <w:rsid w:val="00DC559A"/>
    <w:pPr>
      <w:spacing w:after="0" w:line="240" w:lineRule="auto"/>
    </w:pPr>
  </w:style>
  <w:style w:type="character" w:customStyle="1" w:styleId="Ttulo1Car">
    <w:name w:val="Título 1 Car"/>
    <w:basedOn w:val="Fuentedeprrafopredeter"/>
    <w:link w:val="Ttulo1"/>
    <w:uiPriority w:val="9"/>
    <w:rsid w:val="00C230CB"/>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892EB0"/>
    <w:pPr>
      <w:tabs>
        <w:tab w:val="left" w:pos="660"/>
        <w:tab w:val="right" w:leader="dot" w:pos="8828"/>
      </w:tabs>
      <w:spacing w:after="100" w:line="720" w:lineRule="auto"/>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CD5D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D3B"/>
    <w:rPr>
      <w:rFonts w:ascii="Segoe UI" w:hAnsi="Segoe UI" w:cs="Segoe UI"/>
      <w:sz w:val="18"/>
      <w:szCs w:val="18"/>
    </w:rPr>
  </w:style>
  <w:style w:type="table" w:styleId="Tablaconcuadrcula">
    <w:name w:val="Table Grid"/>
    <w:basedOn w:val="Tablanormal"/>
    <w:uiPriority w:val="39"/>
    <w:rsid w:val="005A4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5A4FE3"/>
    <w:pPr>
      <w:spacing w:before="100" w:beforeAutospacing="1" w:after="100" w:afterAutospacing="1"/>
    </w:pPr>
    <w:rPr>
      <w:rFonts w:ascii="Times New Roman" w:hAnsi="Times New Roman" w:cs="Times New Roman"/>
      <w:lang w:eastAsia="es-ES_tradnl"/>
    </w:rPr>
  </w:style>
  <w:style w:type="paragraph" w:styleId="NormalWeb">
    <w:name w:val="Normal (Web)"/>
    <w:basedOn w:val="Normal"/>
    <w:uiPriority w:val="99"/>
    <w:unhideWhenUsed/>
    <w:rsid w:val="005A4FE3"/>
    <w:pPr>
      <w:spacing w:before="100" w:beforeAutospacing="1" w:after="100" w:afterAutospacing="1"/>
    </w:pPr>
    <w:rPr>
      <w:rFonts w:ascii="Times New Roman" w:hAnsi="Times New Roman" w:cs="Times New Roman"/>
      <w:lang w:eastAsia="es-ES_tradnl"/>
    </w:rPr>
  </w:style>
  <w:style w:type="table" w:styleId="Tablanormal1">
    <w:name w:val="Plain Table 1"/>
    <w:basedOn w:val="Tablanormal"/>
    <w:uiPriority w:val="41"/>
    <w:rsid w:val="005A4FE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5A4FE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305C0"/>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312935"/>
    <w:pPr>
      <w:tabs>
        <w:tab w:val="left" w:pos="880"/>
        <w:tab w:val="right" w:leader="dot" w:pos="8828"/>
      </w:tabs>
      <w:spacing w:after="100"/>
      <w:ind w:left="220"/>
    </w:pPr>
    <w:rPr>
      <w:rFonts w:ascii="Palatino Linotype" w:hAnsi="Palatino Linotype"/>
      <w:b/>
      <w:noProof/>
      <w:sz w:val="20"/>
    </w:rPr>
  </w:style>
  <w:style w:type="paragraph" w:styleId="TDC3">
    <w:name w:val="toc 3"/>
    <w:basedOn w:val="Normal"/>
    <w:next w:val="Normal"/>
    <w:autoRedefine/>
    <w:uiPriority w:val="39"/>
    <w:unhideWhenUsed/>
    <w:rsid w:val="001305C0"/>
    <w:pPr>
      <w:spacing w:after="100"/>
      <w:ind w:left="440"/>
    </w:pPr>
  </w:style>
  <w:style w:type="character" w:customStyle="1" w:styleId="SinespaciadoCar">
    <w:name w:val="Sin espaciado Car"/>
    <w:aliases w:val="Francesa Car"/>
    <w:link w:val="Sinespaciado"/>
    <w:uiPriority w:val="1"/>
    <w:locked/>
    <w:rsid w:val="0040293C"/>
  </w:style>
  <w:style w:type="paragraph" w:customStyle="1" w:styleId="corte4fondo">
    <w:name w:val="corte4 fondo"/>
    <w:basedOn w:val="Normal"/>
    <w:link w:val="corte4fondoCar1"/>
    <w:qFormat/>
    <w:rsid w:val="0040293C"/>
    <w:pPr>
      <w:spacing w:line="360" w:lineRule="auto"/>
      <w:ind w:firstLine="709"/>
      <w:jc w:val="both"/>
    </w:pPr>
    <w:rPr>
      <w:rFonts w:ascii="Arial" w:eastAsia="Times New Roman" w:hAnsi="Arial" w:cs="Times New Roman"/>
      <w:sz w:val="30"/>
      <w:szCs w:val="20"/>
      <w:lang w:val="x-none" w:eastAsia="es-MX"/>
    </w:rPr>
  </w:style>
  <w:style w:type="character" w:customStyle="1" w:styleId="corte4fondoCar1">
    <w:name w:val="corte4 fondo Car1"/>
    <w:link w:val="corte4fondo"/>
    <w:rsid w:val="0040293C"/>
    <w:rPr>
      <w:rFonts w:ascii="Arial" w:eastAsia="Times New Roman" w:hAnsi="Arial" w:cs="Times New Roman"/>
      <w:sz w:val="30"/>
      <w:szCs w:val="20"/>
      <w:lang w:val="x-none" w:eastAsia="es-MX"/>
    </w:rPr>
  </w:style>
  <w:style w:type="character" w:styleId="Refdecomentario">
    <w:name w:val="annotation reference"/>
    <w:basedOn w:val="Fuentedeprrafopredeter"/>
    <w:uiPriority w:val="99"/>
    <w:semiHidden/>
    <w:unhideWhenUsed/>
    <w:rsid w:val="00E045A2"/>
    <w:rPr>
      <w:sz w:val="16"/>
      <w:szCs w:val="16"/>
    </w:rPr>
  </w:style>
  <w:style w:type="paragraph" w:styleId="Textocomentario">
    <w:name w:val="annotation text"/>
    <w:basedOn w:val="Normal"/>
    <w:link w:val="TextocomentarioCar"/>
    <w:uiPriority w:val="99"/>
    <w:semiHidden/>
    <w:unhideWhenUsed/>
    <w:rsid w:val="00E045A2"/>
    <w:rPr>
      <w:sz w:val="20"/>
      <w:szCs w:val="20"/>
    </w:rPr>
  </w:style>
  <w:style w:type="character" w:customStyle="1" w:styleId="TextocomentarioCar">
    <w:name w:val="Texto comentario Car"/>
    <w:basedOn w:val="Fuentedeprrafopredeter"/>
    <w:link w:val="Textocomentario"/>
    <w:uiPriority w:val="99"/>
    <w:semiHidden/>
    <w:rsid w:val="00E045A2"/>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E045A2"/>
    <w:rPr>
      <w:b/>
      <w:bCs/>
    </w:rPr>
  </w:style>
  <w:style w:type="character" w:customStyle="1" w:styleId="AsuntodelcomentarioCar">
    <w:name w:val="Asunto del comentario Car"/>
    <w:basedOn w:val="TextocomentarioCar"/>
    <w:link w:val="Asuntodelcomentario"/>
    <w:uiPriority w:val="99"/>
    <w:semiHidden/>
    <w:rsid w:val="00E045A2"/>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86E17-3E2C-4210-99F8-B8EB234D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2803</Words>
  <Characters>15422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18189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INFORMATICA</cp:lastModifiedBy>
  <cp:revision>7</cp:revision>
  <cp:lastPrinted>2018-11-06T20:24:00Z</cp:lastPrinted>
  <dcterms:created xsi:type="dcterms:W3CDTF">2018-08-06T17:13:00Z</dcterms:created>
  <dcterms:modified xsi:type="dcterms:W3CDTF">2018-11-06T20:24:00Z</dcterms:modified>
</cp:coreProperties>
</file>